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pageBreakBefore w:val="0"/>
        <w:kinsoku/>
        <w:wordWrap/>
        <w:overflowPunct/>
        <w:topLinePunct w:val="0"/>
        <w:autoSpaceDE/>
        <w:autoSpaceDN/>
        <w:bidi w:val="0"/>
        <w:adjustRightInd/>
        <w:snapToGrid/>
        <w:spacing w:before="0" w:line="560" w:lineRule="exact"/>
        <w:ind w:right="0" w:rightChars="0" w:firstLine="600"/>
        <w:jc w:val="center"/>
        <w:textAlignment w:val="auto"/>
        <w:outlineLvl w:val="9"/>
        <w:rPr>
          <w:rFonts w:hint="eastAsia" w:ascii="仿宋_GB2312" w:hAnsi="仿宋_GB2312" w:eastAsia="仿宋_GB2312" w:cs="仿宋_GB2312"/>
          <w:color w:val="auto"/>
          <w:sz w:val="32"/>
          <w:szCs w:val="32"/>
          <w:lang w:val="zh-CN"/>
        </w:rPr>
      </w:pPr>
    </w:p>
    <w:p>
      <w:pPr>
        <w:pStyle w:val="17"/>
        <w:pageBreakBefore w:val="0"/>
        <w:kinsoku/>
        <w:wordWrap/>
        <w:overflowPunct/>
        <w:topLinePunct w:val="0"/>
        <w:autoSpaceDE/>
        <w:autoSpaceDN/>
        <w:bidi w:val="0"/>
        <w:adjustRightInd/>
        <w:snapToGrid/>
        <w:spacing w:before="0" w:line="720" w:lineRule="auto"/>
        <w:ind w:firstLine="600"/>
        <w:jc w:val="center"/>
        <w:textAlignment w:val="auto"/>
        <w:outlineLvl w:val="9"/>
        <w:rPr>
          <w:rFonts w:hint="eastAsia" w:ascii="方正小标宋简体" w:eastAsia="方正小标宋简体"/>
          <w:color w:val="auto"/>
          <w:sz w:val="52"/>
          <w:szCs w:val="52"/>
          <w:lang w:val="zh-CN"/>
        </w:rPr>
      </w:pPr>
    </w:p>
    <w:p>
      <w:pPr>
        <w:pStyle w:val="17"/>
        <w:pageBreakBefore w:val="0"/>
        <w:kinsoku/>
        <w:wordWrap/>
        <w:overflowPunct/>
        <w:topLinePunct w:val="0"/>
        <w:autoSpaceDE/>
        <w:autoSpaceDN/>
        <w:bidi w:val="0"/>
        <w:adjustRightInd/>
        <w:snapToGrid/>
        <w:spacing w:before="0" w:line="720" w:lineRule="auto"/>
        <w:ind w:firstLine="600"/>
        <w:jc w:val="center"/>
        <w:textAlignment w:val="auto"/>
        <w:outlineLvl w:val="9"/>
        <w:rPr>
          <w:rFonts w:hint="eastAsia" w:ascii="方正小标宋简体" w:eastAsia="方正小标宋简体"/>
          <w:color w:val="auto"/>
          <w:sz w:val="52"/>
          <w:szCs w:val="52"/>
          <w:lang w:val="zh-CN"/>
        </w:rPr>
      </w:pPr>
      <w:r>
        <w:rPr>
          <w:rFonts w:hint="eastAsia" w:ascii="方正小标宋简体" w:eastAsia="方正小标宋简体"/>
          <w:color w:val="auto"/>
          <w:sz w:val="52"/>
          <w:szCs w:val="52"/>
          <w:lang w:val="zh-CN"/>
        </w:rPr>
        <w:t>广西建设职业技术学院</w:t>
      </w:r>
    </w:p>
    <w:p>
      <w:pPr>
        <w:pStyle w:val="17"/>
        <w:pageBreakBefore w:val="0"/>
        <w:kinsoku/>
        <w:wordWrap/>
        <w:overflowPunct/>
        <w:topLinePunct w:val="0"/>
        <w:autoSpaceDE/>
        <w:autoSpaceDN/>
        <w:bidi w:val="0"/>
        <w:adjustRightInd/>
        <w:snapToGrid/>
        <w:spacing w:before="0" w:line="720" w:lineRule="auto"/>
        <w:ind w:firstLine="600"/>
        <w:jc w:val="center"/>
        <w:textAlignment w:val="auto"/>
        <w:outlineLvl w:val="9"/>
        <w:rPr>
          <w:rFonts w:hint="eastAsia" w:ascii="方正小标宋简体" w:eastAsia="方正小标宋简体"/>
          <w:color w:val="auto"/>
          <w:sz w:val="52"/>
          <w:szCs w:val="52"/>
          <w:lang w:val="zh-CN"/>
        </w:rPr>
      </w:pPr>
      <w:r>
        <w:rPr>
          <w:rFonts w:hint="eastAsia" w:ascii="方正小标宋简体" w:eastAsia="方正小标宋简体"/>
          <w:color w:val="auto"/>
          <w:sz w:val="52"/>
          <w:szCs w:val="52"/>
          <w:lang w:val="zh-CN"/>
        </w:rPr>
        <w:t>高等职业教育人才培养质量年度报告（20</w:t>
      </w:r>
      <w:r>
        <w:rPr>
          <w:rFonts w:hint="eastAsia" w:ascii="方正小标宋简体" w:eastAsia="方正小标宋简体"/>
          <w:color w:val="auto"/>
          <w:sz w:val="52"/>
          <w:szCs w:val="52"/>
          <w:lang w:val="en-US" w:eastAsia="zh-CN"/>
        </w:rPr>
        <w:t>20</w:t>
      </w:r>
      <w:r>
        <w:rPr>
          <w:rFonts w:hint="eastAsia" w:ascii="方正小标宋简体" w:eastAsia="方正小标宋简体"/>
          <w:color w:val="auto"/>
          <w:sz w:val="52"/>
          <w:szCs w:val="52"/>
          <w:lang w:val="zh-CN"/>
        </w:rPr>
        <w:t>）</w:t>
      </w:r>
    </w:p>
    <w:p>
      <w:pPr>
        <w:pStyle w:val="17"/>
        <w:pageBreakBefore w:val="0"/>
        <w:kinsoku/>
        <w:wordWrap/>
        <w:overflowPunct/>
        <w:topLinePunct w:val="0"/>
        <w:autoSpaceDE/>
        <w:autoSpaceDN/>
        <w:bidi w:val="0"/>
        <w:adjustRightInd/>
        <w:snapToGrid/>
        <w:spacing w:before="0" w:line="720" w:lineRule="auto"/>
        <w:ind w:firstLine="600"/>
        <w:jc w:val="center"/>
        <w:textAlignment w:val="auto"/>
        <w:outlineLvl w:val="9"/>
        <w:rPr>
          <w:rFonts w:hint="eastAsia" w:ascii="方正小标宋简体" w:eastAsia="方正小标宋简体"/>
          <w:color w:val="auto"/>
          <w:sz w:val="52"/>
          <w:szCs w:val="52"/>
          <w:lang w:val="zh-CN"/>
        </w:rPr>
      </w:pPr>
    </w:p>
    <w:p>
      <w:pPr>
        <w:pageBreakBefore w:val="0"/>
        <w:kinsoku/>
        <w:wordWrap/>
        <w:overflowPunct/>
        <w:topLinePunct w:val="0"/>
        <w:autoSpaceDE/>
        <w:autoSpaceDN/>
        <w:bidi w:val="0"/>
        <w:adjustRightInd/>
        <w:snapToGrid/>
        <w:spacing w:line="560" w:lineRule="exact"/>
        <w:ind w:right="0" w:rightChars="0" w:firstLine="600"/>
        <w:textAlignment w:val="auto"/>
        <w:rPr>
          <w:rFonts w:hint="eastAsia" w:ascii="仿宋_GB2312" w:hAnsi="仿宋_GB2312" w:eastAsia="仿宋_GB2312" w:cs="仿宋_GB2312"/>
          <w:color w:val="auto"/>
          <w:sz w:val="32"/>
          <w:szCs w:val="32"/>
        </w:rPr>
      </w:pPr>
    </w:p>
    <w:p>
      <w:pPr>
        <w:pStyle w:val="2"/>
        <w:pageBreakBefore w:val="0"/>
        <w:kinsoku/>
        <w:wordWrap/>
        <w:overflowPunct/>
        <w:topLinePunct w:val="0"/>
        <w:bidi w:val="0"/>
        <w:spacing w:line="560" w:lineRule="exact"/>
        <w:ind w:right="0" w:rightChars="0"/>
        <w:textAlignment w:val="auto"/>
        <w:outlineLvl w:val="9"/>
        <w:rPr>
          <w:rFonts w:hint="eastAsia" w:ascii="仿宋_GB2312" w:hAnsi="仿宋_GB2312" w:eastAsia="仿宋_GB2312" w:cs="仿宋_GB2312"/>
          <w:color w:val="auto"/>
          <w:sz w:val="32"/>
          <w:szCs w:val="32"/>
        </w:rPr>
      </w:pPr>
    </w:p>
    <w:p>
      <w:pPr>
        <w:pageBreakBefore w:val="0"/>
        <w:kinsoku/>
        <w:wordWrap/>
        <w:overflowPunct/>
        <w:topLinePunct w:val="0"/>
        <w:bidi w:val="0"/>
        <w:spacing w:line="560" w:lineRule="exact"/>
        <w:ind w:right="0" w:rightChars="0"/>
        <w:textAlignment w:val="auto"/>
        <w:rPr>
          <w:rFonts w:hint="eastAsia" w:ascii="仿宋_GB2312" w:hAnsi="仿宋_GB2312" w:eastAsia="仿宋_GB2312" w:cs="仿宋_GB2312"/>
          <w:color w:val="auto"/>
          <w:sz w:val="32"/>
          <w:szCs w:val="32"/>
        </w:rPr>
      </w:pPr>
    </w:p>
    <w:p>
      <w:pPr>
        <w:pStyle w:val="2"/>
        <w:pageBreakBefore w:val="0"/>
        <w:kinsoku/>
        <w:wordWrap/>
        <w:overflowPunct/>
        <w:topLinePunct w:val="0"/>
        <w:bidi w:val="0"/>
        <w:spacing w:line="560" w:lineRule="exact"/>
        <w:ind w:right="0" w:rightChars="0"/>
        <w:textAlignment w:val="auto"/>
        <w:outlineLvl w:val="9"/>
        <w:rPr>
          <w:rFonts w:hint="eastAsia" w:ascii="仿宋_GB2312" w:hAnsi="仿宋_GB2312" w:eastAsia="仿宋_GB2312" w:cs="仿宋_GB2312"/>
          <w:color w:val="auto"/>
          <w:sz w:val="32"/>
          <w:szCs w:val="32"/>
        </w:rPr>
      </w:pPr>
    </w:p>
    <w:p>
      <w:pPr>
        <w:pageBreakBefore w:val="0"/>
        <w:kinsoku/>
        <w:wordWrap/>
        <w:overflowPunct/>
        <w:topLinePunct w:val="0"/>
        <w:bidi w:val="0"/>
        <w:spacing w:line="560" w:lineRule="exact"/>
        <w:ind w:right="0" w:rightChars="0"/>
        <w:textAlignment w:val="auto"/>
        <w:rPr>
          <w:rFonts w:hint="eastAsia" w:ascii="仿宋_GB2312" w:hAnsi="仿宋_GB2312" w:eastAsia="仿宋_GB2312" w:cs="仿宋_GB2312"/>
          <w:sz w:val="32"/>
          <w:szCs w:val="32"/>
        </w:rPr>
      </w:pPr>
    </w:p>
    <w:p>
      <w:pPr>
        <w:pageBreakBefore w:val="0"/>
        <w:kinsoku/>
        <w:wordWrap/>
        <w:overflowPunct/>
        <w:topLinePunct w:val="0"/>
        <w:bidi w:val="0"/>
        <w:spacing w:line="560" w:lineRule="exact"/>
        <w:ind w:right="0" w:rightChars="0" w:firstLine="600"/>
        <w:textAlignment w:val="auto"/>
        <w:rPr>
          <w:rFonts w:hint="eastAsia" w:ascii="仿宋_GB2312" w:hAnsi="仿宋_GB2312" w:eastAsia="仿宋_GB2312" w:cs="仿宋_GB2312"/>
          <w:color w:val="auto"/>
          <w:sz w:val="32"/>
          <w:szCs w:val="32"/>
        </w:rPr>
      </w:pPr>
    </w:p>
    <w:p>
      <w:pPr>
        <w:pageBreakBefore w:val="0"/>
        <w:kinsoku/>
        <w:wordWrap/>
        <w:overflowPunct/>
        <w:topLinePunct w:val="0"/>
        <w:bidi w:val="0"/>
        <w:spacing w:line="560" w:lineRule="exact"/>
        <w:ind w:right="0" w:rightChars="0" w:firstLine="600"/>
        <w:textAlignment w:val="auto"/>
        <w:rPr>
          <w:rFonts w:hint="eastAsia" w:ascii="仿宋_GB2312" w:hAnsi="仿宋_GB2312" w:eastAsia="仿宋_GB2312" w:cs="仿宋_GB2312"/>
          <w:color w:val="auto"/>
          <w:sz w:val="32"/>
          <w:szCs w:val="32"/>
        </w:rPr>
      </w:pPr>
    </w:p>
    <w:p>
      <w:pPr>
        <w:pageBreakBefore w:val="0"/>
        <w:kinsoku/>
        <w:wordWrap/>
        <w:overflowPunct/>
        <w:topLinePunct w:val="0"/>
        <w:bidi w:val="0"/>
        <w:spacing w:line="560" w:lineRule="exact"/>
        <w:ind w:right="0" w:rightChars="0" w:firstLine="600"/>
        <w:textAlignment w:val="auto"/>
        <w:rPr>
          <w:rFonts w:hint="eastAsia" w:ascii="仿宋_GB2312" w:hAnsi="仿宋_GB2312" w:eastAsia="仿宋_GB2312" w:cs="仿宋_GB2312"/>
          <w:color w:val="auto"/>
          <w:sz w:val="32"/>
          <w:szCs w:val="32"/>
        </w:rPr>
      </w:pPr>
    </w:p>
    <w:p>
      <w:pPr>
        <w:pageBreakBefore w:val="0"/>
        <w:kinsoku/>
        <w:wordWrap/>
        <w:overflowPunct/>
        <w:topLinePunct w:val="0"/>
        <w:bidi w:val="0"/>
        <w:spacing w:line="560" w:lineRule="exact"/>
        <w:ind w:right="0" w:rightChars="0" w:firstLine="600"/>
        <w:textAlignment w:val="auto"/>
        <w:rPr>
          <w:rFonts w:hint="eastAsia" w:ascii="仿宋_GB2312" w:hAnsi="仿宋_GB2312" w:eastAsia="仿宋_GB2312" w:cs="仿宋_GB2312"/>
          <w:color w:val="auto"/>
          <w:sz w:val="32"/>
          <w:szCs w:val="32"/>
        </w:rPr>
      </w:pPr>
    </w:p>
    <w:p>
      <w:pPr>
        <w:pageBreakBefore w:val="0"/>
        <w:kinsoku/>
        <w:wordWrap/>
        <w:overflowPunct/>
        <w:topLinePunct w:val="0"/>
        <w:bidi w:val="0"/>
        <w:spacing w:line="560" w:lineRule="exact"/>
        <w:ind w:right="0" w:rightChars="0" w:firstLine="1280" w:firstLineChars="400"/>
        <w:textAlignment w:val="auto"/>
        <w:rPr>
          <w:rFonts w:hint="eastAsia" w:ascii="仿宋_GB2312" w:hAnsi="仿宋_GB2312" w:eastAsia="仿宋_GB2312" w:cs="仿宋_GB2312"/>
          <w:color w:val="auto"/>
          <w:sz w:val="32"/>
          <w:szCs w:val="32"/>
        </w:rPr>
      </w:pPr>
      <w:bookmarkStart w:id="0" w:name="_Toc156_WPSOffice_Level1"/>
    </w:p>
    <w:p>
      <w:pPr>
        <w:pageBreakBefore w:val="0"/>
        <w:kinsoku/>
        <w:wordWrap/>
        <w:overflowPunct/>
        <w:topLinePunct w:val="0"/>
        <w:bidi w:val="0"/>
        <w:spacing w:line="560" w:lineRule="exact"/>
        <w:ind w:firstLine="2080" w:firstLineChars="400"/>
        <w:textAlignment w:val="auto"/>
        <w:rPr>
          <w:rFonts w:hint="eastAsia" w:ascii="方正小标宋简体" w:eastAsia="方正小标宋简体"/>
          <w:color w:val="auto"/>
          <w:sz w:val="52"/>
          <w:szCs w:val="52"/>
        </w:rPr>
      </w:pPr>
      <w:r>
        <w:rPr>
          <w:rFonts w:hint="eastAsia" w:ascii="方正小标宋简体" w:eastAsia="方正小标宋简体"/>
          <w:color w:val="auto"/>
          <w:sz w:val="52"/>
          <w:szCs w:val="52"/>
        </w:rPr>
        <w:t>二〇</w:t>
      </w:r>
      <w:r>
        <w:rPr>
          <w:rFonts w:hint="eastAsia" w:ascii="方正小标宋简体" w:eastAsia="方正小标宋简体"/>
          <w:color w:val="auto"/>
          <w:sz w:val="52"/>
          <w:szCs w:val="52"/>
          <w:lang w:val="en-US" w:eastAsia="zh-Hans"/>
        </w:rPr>
        <w:t>二</w:t>
      </w:r>
      <w:r>
        <w:rPr>
          <w:rFonts w:hint="eastAsia" w:ascii="方正小标宋简体" w:eastAsia="方正小标宋简体"/>
          <w:color w:val="auto"/>
          <w:sz w:val="52"/>
          <w:szCs w:val="52"/>
        </w:rPr>
        <w:t>〇年十</w:t>
      </w:r>
      <w:r>
        <w:rPr>
          <w:rFonts w:hint="eastAsia" w:ascii="方正小标宋简体" w:eastAsia="方正小标宋简体"/>
          <w:color w:val="auto"/>
          <w:sz w:val="52"/>
          <w:szCs w:val="52"/>
          <w:lang w:eastAsia="zh-CN"/>
        </w:rPr>
        <w:t>二</w:t>
      </w:r>
      <w:r>
        <w:rPr>
          <w:rFonts w:hint="eastAsia" w:ascii="方正小标宋简体" w:eastAsia="方正小标宋简体"/>
          <w:color w:val="auto"/>
          <w:sz w:val="52"/>
          <w:szCs w:val="52"/>
        </w:rPr>
        <w:t>月</w:t>
      </w:r>
      <w:bookmarkEnd w:id="0"/>
    </w:p>
    <w:p>
      <w:pPr>
        <w:widowControl/>
        <w:spacing w:after="156" w:line="560" w:lineRule="exact"/>
        <w:ind w:firstLine="720" w:firstLineChars="200"/>
        <w:jc w:val="left"/>
        <w:rPr>
          <w:rFonts w:ascii="Cambria" w:hAnsi="Cambria" w:eastAsia="方正小标宋简体" w:cs="宋体"/>
          <w:kern w:val="0"/>
          <w:sz w:val="36"/>
          <w:szCs w:val="36"/>
        </w:rPr>
      </w:pPr>
    </w:p>
    <w:p>
      <w:pPr>
        <w:pageBreakBefore w:val="0"/>
        <w:kinsoku/>
        <w:wordWrap/>
        <w:overflowPunct/>
        <w:topLinePunct w:val="0"/>
        <w:bidi w:val="0"/>
        <w:spacing w:line="560" w:lineRule="exact"/>
        <w:ind w:right="0" w:rightChars="0"/>
        <w:textAlignment w:val="auto"/>
        <w:rPr>
          <w:rFonts w:hint="eastAsia" w:ascii="仿宋_GB2312" w:hAnsi="仿宋_GB2312" w:eastAsia="仿宋_GB2312" w:cs="仿宋_GB2312"/>
          <w:sz w:val="32"/>
          <w:szCs w:val="32"/>
          <w:lang w:eastAsia="zh-CN"/>
        </w:rPr>
      </w:pPr>
    </w:p>
    <w:p>
      <w:pPr>
        <w:pStyle w:val="3"/>
        <w:pageBreakBefore w:val="0"/>
        <w:kinsoku/>
        <w:wordWrap/>
        <w:overflowPunct/>
        <w:topLinePunct w:val="0"/>
        <w:bidi w:val="0"/>
        <w:spacing w:line="560" w:lineRule="exact"/>
        <w:ind w:left="0" w:leftChars="0" w:right="0" w:rightChars="0" w:firstLine="0" w:firstLineChars="0"/>
        <w:textAlignment w:val="auto"/>
        <w:outlineLvl w:val="9"/>
        <w:rPr>
          <w:rFonts w:hint="eastAsia" w:ascii="仿宋_GB2312" w:hAnsi="仿宋_GB2312" w:eastAsia="仿宋_GB2312" w:cs="仿宋_GB2312"/>
          <w:b w:val="0"/>
          <w:bCs w:val="0"/>
          <w:color w:val="auto"/>
          <w:sz w:val="32"/>
          <w:szCs w:val="32"/>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sdt>
      <w:sdtPr>
        <w:rPr>
          <w:rFonts w:hint="eastAsia" w:ascii="方正小标宋简体" w:hAnsi="方正小标宋简体" w:eastAsia="方正小标宋简体" w:cs="方正小标宋简体"/>
          <w:sz w:val="30"/>
          <w:szCs w:val="30"/>
          <w:lang w:val="en-US" w:eastAsia="zh-CN"/>
        </w:rPr>
        <w:id w:val="84789783"/>
        <w15:color w:val="DBDBDB"/>
      </w:sdtPr>
      <w:sdtEndPr>
        <w:rPr>
          <w:rFonts w:hint="eastAsia" w:ascii="仿宋" w:hAnsi="仿宋" w:eastAsia="仿宋" w:cs="仿宋"/>
          <w:kern w:val="2"/>
          <w:sz w:val="24"/>
          <w:szCs w:val="24"/>
          <w:lang w:val="en-US" w:eastAsia="zh-CN" w:bidi="ar-SA"/>
        </w:rPr>
      </w:sdtEndPr>
      <w:sdtContent>
        <w:sdt>
          <w:sdtPr>
            <w:rPr>
              <w:rFonts w:hint="eastAsia" w:ascii="方正小标宋简体" w:hAnsi="方正小标宋简体" w:eastAsia="方正小标宋简体" w:cs="方正小标宋简体"/>
              <w:sz w:val="30"/>
              <w:szCs w:val="30"/>
              <w:lang w:val="en-US" w:eastAsia="zh-CN"/>
            </w:rPr>
            <w:id w:val="147480697"/>
            <w15:color w:val="DBDBDB"/>
            <w:docPartObj>
              <w:docPartGallery w:val="Table of Contents"/>
              <w:docPartUnique/>
            </w:docPartObj>
          </w:sdtPr>
          <w:sdtEndPr>
            <w:rPr>
              <w:rFonts w:hint="eastAsia" w:ascii="仿宋" w:hAnsi="仿宋" w:eastAsia="仿宋" w:cs="仿宋"/>
              <w:sz w:val="24"/>
              <w:szCs w:val="24"/>
              <w:lang w:val="en-US" w:eastAsia="zh-CN"/>
            </w:rPr>
          </w:sdtEndPr>
          <w:sdtContent>
            <w:p>
              <w:pPr>
                <w:pageBreakBefore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目</w:t>
              </w:r>
              <w:r>
                <w:rPr>
                  <w:rFonts w:hint="eastAsia" w:ascii="方正小标宋简体" w:hAnsi="方正小标宋简体" w:eastAsia="方正小标宋简体" w:cs="方正小标宋简体"/>
                  <w:sz w:val="30"/>
                  <w:szCs w:val="30"/>
                  <w:lang w:val="en-US" w:eastAsia="zh-CN"/>
                </w:rPr>
                <w:t xml:space="preserve"> </w:t>
              </w:r>
              <w:r>
                <w:rPr>
                  <w:rFonts w:hint="eastAsia" w:ascii="方正小标宋简体" w:hAnsi="方正小标宋简体" w:eastAsia="方正小标宋简体" w:cs="方正小标宋简体"/>
                  <w:sz w:val="30"/>
                  <w:szCs w:val="30"/>
                </w:rPr>
                <w:t>录</w:t>
              </w:r>
            </w:p>
            <w:p>
              <w:pPr>
                <w:pStyle w:val="10"/>
                <w:tabs>
                  <w:tab w:val="right" w:leader="dot" w:pos="8306"/>
                </w:tabs>
                <w:rPr>
                  <w:rFonts w:hint="eastAsia" w:ascii="方正小标宋简体" w:hAnsi="Arial" w:eastAsia="方正小标宋简体" w:cs="宋体"/>
                  <w:b/>
                  <w:bCs/>
                  <w:kern w:val="0"/>
                  <w:sz w:val="24"/>
                  <w:szCs w:val="24"/>
                  <w:lang w:val="en-US" w:eastAsia="zh-CN" w:bidi="ar-SA"/>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TOC \o "1-3" \h \u </w:instrText>
              </w:r>
              <w:r>
                <w:rPr>
                  <w:rFonts w:hint="eastAsia" w:ascii="仿宋" w:hAnsi="仿宋" w:eastAsia="仿宋" w:cs="仿宋"/>
                  <w:sz w:val="24"/>
                  <w:szCs w:val="24"/>
                </w:rPr>
                <w:fldChar w:fldCharType="separate"/>
              </w:r>
              <w:r>
                <w:rPr>
                  <w:rFonts w:hint="eastAsia" w:ascii="方正小标宋简体" w:hAnsi="Arial" w:eastAsia="方正小标宋简体" w:cs="宋体"/>
                  <w:b/>
                  <w:bCs/>
                  <w:kern w:val="0"/>
                  <w:sz w:val="24"/>
                  <w:szCs w:val="24"/>
                  <w:lang w:val="en-US" w:eastAsia="zh-CN" w:bidi="ar-SA"/>
                </w:rPr>
                <w:fldChar w:fldCharType="begin"/>
              </w:r>
              <w:r>
                <w:rPr>
                  <w:rFonts w:hint="eastAsia" w:ascii="方正小标宋简体" w:hAnsi="Arial" w:eastAsia="方正小标宋简体" w:cs="宋体"/>
                  <w:b/>
                  <w:bCs/>
                  <w:kern w:val="0"/>
                  <w:sz w:val="24"/>
                  <w:szCs w:val="24"/>
                  <w:lang w:val="en-US" w:eastAsia="zh-CN" w:bidi="ar-SA"/>
                </w:rPr>
                <w:instrText xml:space="preserve"> HYPERLINK \l _Toc9429 </w:instrText>
              </w:r>
              <w:r>
                <w:rPr>
                  <w:rFonts w:hint="eastAsia" w:ascii="方正小标宋简体" w:hAnsi="Arial" w:eastAsia="方正小标宋简体" w:cs="宋体"/>
                  <w:b/>
                  <w:bCs/>
                  <w:kern w:val="0"/>
                  <w:sz w:val="24"/>
                  <w:szCs w:val="24"/>
                  <w:lang w:val="en-US" w:eastAsia="zh-CN" w:bidi="ar-SA"/>
                </w:rPr>
                <w:fldChar w:fldCharType="separate"/>
              </w:r>
              <w:r>
                <w:rPr>
                  <w:rFonts w:hint="eastAsia" w:ascii="方正小标宋简体" w:hAnsi="Arial" w:eastAsia="方正小标宋简体" w:cs="宋体"/>
                  <w:b/>
                  <w:bCs/>
                  <w:kern w:val="0"/>
                  <w:sz w:val="24"/>
                  <w:szCs w:val="24"/>
                  <w:lang w:val="en-US" w:eastAsia="zh-CN" w:bidi="ar-SA"/>
                </w:rPr>
                <w:t>内容真实性责任声明</w:t>
              </w:r>
              <w:r>
                <w:rPr>
                  <w:rFonts w:hint="eastAsia" w:ascii="方正小标宋简体" w:hAnsi="Arial" w:eastAsia="方正小标宋简体" w:cs="宋体"/>
                  <w:b/>
                  <w:bCs/>
                  <w:kern w:val="0"/>
                  <w:sz w:val="24"/>
                  <w:szCs w:val="24"/>
                  <w:lang w:val="en-US" w:eastAsia="zh-CN" w:bidi="ar-SA"/>
                </w:rPr>
                <w:tab/>
              </w:r>
              <w:r>
                <w:rPr>
                  <w:rFonts w:hint="eastAsia" w:ascii="方正小标宋简体" w:hAnsi="Arial" w:eastAsia="方正小标宋简体" w:cs="宋体"/>
                  <w:b/>
                  <w:bCs/>
                  <w:kern w:val="0"/>
                  <w:sz w:val="24"/>
                  <w:szCs w:val="24"/>
                  <w:lang w:val="en-US" w:eastAsia="zh-CN" w:bidi="ar-SA"/>
                </w:rPr>
                <w:fldChar w:fldCharType="begin"/>
              </w:r>
              <w:r>
                <w:rPr>
                  <w:rFonts w:hint="eastAsia" w:ascii="方正小标宋简体" w:hAnsi="Arial" w:eastAsia="方正小标宋简体" w:cs="宋体"/>
                  <w:b/>
                  <w:bCs/>
                  <w:kern w:val="0"/>
                  <w:sz w:val="24"/>
                  <w:szCs w:val="24"/>
                  <w:lang w:val="en-US" w:eastAsia="zh-CN" w:bidi="ar-SA"/>
                </w:rPr>
                <w:instrText xml:space="preserve"> PAGEREF _Toc9429 </w:instrText>
              </w:r>
              <w:r>
                <w:rPr>
                  <w:rFonts w:hint="eastAsia" w:ascii="方正小标宋简体" w:hAnsi="Arial" w:eastAsia="方正小标宋简体" w:cs="宋体"/>
                  <w:b/>
                  <w:bCs/>
                  <w:kern w:val="0"/>
                  <w:sz w:val="24"/>
                  <w:szCs w:val="24"/>
                  <w:lang w:val="en-US" w:eastAsia="zh-CN" w:bidi="ar-SA"/>
                </w:rPr>
                <w:fldChar w:fldCharType="separate"/>
              </w:r>
              <w:r>
                <w:rPr>
                  <w:rFonts w:hint="eastAsia" w:ascii="方正小标宋简体" w:hAnsi="Arial" w:eastAsia="方正小标宋简体" w:cs="宋体"/>
                  <w:b/>
                  <w:bCs/>
                  <w:kern w:val="0"/>
                  <w:sz w:val="24"/>
                  <w:szCs w:val="24"/>
                  <w:lang w:val="en-US" w:eastAsia="zh-CN" w:bidi="ar-SA"/>
                </w:rPr>
                <w:t>5</w:t>
              </w:r>
              <w:r>
                <w:rPr>
                  <w:rFonts w:hint="eastAsia" w:ascii="方正小标宋简体" w:hAnsi="Arial" w:eastAsia="方正小标宋简体" w:cs="宋体"/>
                  <w:b/>
                  <w:bCs/>
                  <w:kern w:val="0"/>
                  <w:sz w:val="24"/>
                  <w:szCs w:val="24"/>
                  <w:lang w:val="en-US" w:eastAsia="zh-CN" w:bidi="ar-SA"/>
                </w:rPr>
                <w:fldChar w:fldCharType="end"/>
              </w:r>
              <w:r>
                <w:rPr>
                  <w:rFonts w:hint="eastAsia" w:ascii="方正小标宋简体" w:hAnsi="Arial" w:eastAsia="方正小标宋简体" w:cs="宋体"/>
                  <w:b/>
                  <w:bCs/>
                  <w:kern w:val="0"/>
                  <w:sz w:val="24"/>
                  <w:szCs w:val="24"/>
                  <w:lang w:val="en-US" w:eastAsia="zh-CN" w:bidi="ar-SA"/>
                </w:rPr>
                <w:fldChar w:fldCharType="end"/>
              </w:r>
            </w:p>
            <w:p>
              <w:pPr>
                <w:pStyle w:val="10"/>
                <w:tabs>
                  <w:tab w:val="right" w:leader="dot" w:pos="8306"/>
                </w:tabs>
                <w:rPr>
                  <w:rFonts w:hint="eastAsia" w:ascii="楷体" w:hAnsi="楷体" w:eastAsia="楷体" w:cs="楷体"/>
                  <w:b/>
                  <w:bCs/>
                  <w:sz w:val="24"/>
                  <w:szCs w:val="24"/>
                </w:rPr>
              </w:pPr>
              <w:r>
                <w:rPr>
                  <w:rFonts w:hint="eastAsia" w:ascii="楷体" w:hAnsi="楷体" w:eastAsia="楷体" w:cs="楷体"/>
                  <w:b/>
                  <w:bCs/>
                  <w:sz w:val="24"/>
                  <w:szCs w:val="24"/>
                </w:rPr>
                <w:fldChar w:fldCharType="begin"/>
              </w:r>
              <w:r>
                <w:rPr>
                  <w:rFonts w:hint="eastAsia" w:ascii="楷体" w:hAnsi="楷体" w:eastAsia="楷体" w:cs="楷体"/>
                  <w:b/>
                  <w:bCs/>
                  <w:sz w:val="24"/>
                  <w:szCs w:val="24"/>
                </w:rPr>
                <w:instrText xml:space="preserve"> HYPERLINK \l _Toc19725 </w:instrText>
              </w:r>
              <w:r>
                <w:rPr>
                  <w:rFonts w:hint="eastAsia" w:ascii="楷体" w:hAnsi="楷体" w:eastAsia="楷体" w:cs="楷体"/>
                  <w:b/>
                  <w:bCs/>
                  <w:sz w:val="24"/>
                  <w:szCs w:val="24"/>
                </w:rPr>
                <w:fldChar w:fldCharType="separate"/>
              </w:r>
              <w:r>
                <w:rPr>
                  <w:rFonts w:hint="eastAsia" w:ascii="楷体" w:hAnsi="楷体" w:eastAsia="楷体" w:cs="楷体"/>
                  <w:b/>
                  <w:bCs/>
                  <w:sz w:val="24"/>
                  <w:szCs w:val="24"/>
                  <w:lang w:eastAsia="zh-CN"/>
                </w:rPr>
                <w:t>一、</w:t>
              </w:r>
              <w:r>
                <w:rPr>
                  <w:rFonts w:hint="eastAsia" w:ascii="楷体" w:hAnsi="楷体" w:eastAsia="楷体" w:cs="楷体"/>
                  <w:b/>
                  <w:bCs/>
                  <w:sz w:val="24"/>
                  <w:szCs w:val="24"/>
                </w:rPr>
                <w:t>办学</w:t>
              </w:r>
              <w:r>
                <w:rPr>
                  <w:rFonts w:hint="eastAsia" w:ascii="楷体" w:hAnsi="楷体" w:eastAsia="楷体" w:cs="楷体"/>
                  <w:b/>
                  <w:bCs/>
                  <w:sz w:val="24"/>
                  <w:szCs w:val="24"/>
                  <w:lang w:eastAsia="zh-CN"/>
                </w:rPr>
                <w:t>基本情况</w:t>
              </w:r>
              <w:r>
                <w:rPr>
                  <w:rFonts w:hint="eastAsia" w:ascii="楷体" w:hAnsi="楷体" w:eastAsia="楷体" w:cs="楷体"/>
                  <w:b/>
                  <w:bCs/>
                  <w:sz w:val="24"/>
                  <w:szCs w:val="24"/>
                </w:rPr>
                <w:t>概述</w:t>
              </w:r>
              <w:r>
                <w:rPr>
                  <w:rFonts w:hint="eastAsia" w:ascii="楷体" w:hAnsi="楷体" w:eastAsia="楷体" w:cs="楷体"/>
                  <w:b/>
                  <w:bCs/>
                  <w:sz w:val="24"/>
                  <w:szCs w:val="24"/>
                </w:rPr>
                <w:tab/>
              </w:r>
              <w:r>
                <w:rPr>
                  <w:rFonts w:hint="eastAsia" w:ascii="楷体" w:hAnsi="楷体" w:eastAsia="楷体" w:cs="楷体"/>
                  <w:b/>
                  <w:bCs/>
                  <w:sz w:val="24"/>
                  <w:szCs w:val="24"/>
                </w:rPr>
                <w:fldChar w:fldCharType="begin"/>
              </w:r>
              <w:r>
                <w:rPr>
                  <w:rFonts w:hint="eastAsia" w:ascii="楷体" w:hAnsi="楷体" w:eastAsia="楷体" w:cs="楷体"/>
                  <w:b/>
                  <w:bCs/>
                  <w:sz w:val="24"/>
                  <w:szCs w:val="24"/>
                </w:rPr>
                <w:instrText xml:space="preserve"> PAGEREF _Toc19725 </w:instrText>
              </w:r>
              <w:r>
                <w:rPr>
                  <w:rFonts w:hint="eastAsia" w:ascii="楷体" w:hAnsi="楷体" w:eastAsia="楷体" w:cs="楷体"/>
                  <w:b/>
                  <w:bCs/>
                  <w:sz w:val="24"/>
                  <w:szCs w:val="24"/>
                </w:rPr>
                <w:fldChar w:fldCharType="separate"/>
              </w:r>
              <w:r>
                <w:rPr>
                  <w:rFonts w:hint="eastAsia" w:ascii="楷体" w:hAnsi="楷体" w:eastAsia="楷体" w:cs="楷体"/>
                  <w:b/>
                  <w:bCs/>
                  <w:sz w:val="24"/>
                  <w:szCs w:val="24"/>
                </w:rPr>
                <w:t>6</w:t>
              </w:r>
              <w:r>
                <w:rPr>
                  <w:rFonts w:hint="eastAsia" w:ascii="楷体" w:hAnsi="楷体" w:eastAsia="楷体" w:cs="楷体"/>
                  <w:b/>
                  <w:bCs/>
                  <w:sz w:val="24"/>
                  <w:szCs w:val="24"/>
                </w:rPr>
                <w:fldChar w:fldCharType="end"/>
              </w:r>
              <w:r>
                <w:rPr>
                  <w:rFonts w:hint="eastAsia" w:ascii="楷体" w:hAnsi="楷体" w:eastAsia="楷体" w:cs="楷体"/>
                  <w:b/>
                  <w:bCs/>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_Toc14189 </w:instrText>
              </w:r>
              <w:r>
                <w:rPr>
                  <w:rFonts w:hint="eastAsia" w:ascii="仿宋" w:hAnsi="仿宋" w:eastAsia="仿宋" w:cs="仿宋"/>
                  <w:sz w:val="24"/>
                  <w:szCs w:val="24"/>
                </w:rPr>
                <w:fldChar w:fldCharType="separate"/>
              </w:r>
              <w:r>
                <w:rPr>
                  <w:rFonts w:hint="eastAsia" w:ascii="仿宋" w:hAnsi="仿宋" w:eastAsia="仿宋" w:cs="仿宋"/>
                  <w:bCs/>
                  <w:sz w:val="24"/>
                  <w:szCs w:val="24"/>
                  <w:lang w:eastAsia="zh-CN"/>
                </w:rPr>
                <w:t>（一）</w:t>
              </w:r>
              <w:r>
                <w:rPr>
                  <w:rFonts w:hint="eastAsia" w:ascii="仿宋" w:hAnsi="仿宋" w:eastAsia="仿宋" w:cs="仿宋"/>
                  <w:bCs/>
                  <w:sz w:val="24"/>
                  <w:szCs w:val="24"/>
                </w:rPr>
                <w:t>办学条件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_Toc14189 </w:instrText>
              </w:r>
              <w:r>
                <w:rPr>
                  <w:rFonts w:hint="eastAsia" w:ascii="仿宋" w:hAnsi="仿宋" w:eastAsia="仿宋" w:cs="仿宋"/>
                  <w:sz w:val="24"/>
                  <w:szCs w:val="24"/>
                </w:rPr>
                <w:fldChar w:fldCharType="separate"/>
              </w:r>
              <w:r>
                <w:rPr>
                  <w:rFonts w:hint="eastAsia" w:ascii="仿宋" w:hAnsi="仿宋" w:eastAsia="仿宋" w:cs="仿宋"/>
                  <w:sz w:val="24"/>
                  <w:szCs w:val="24"/>
                </w:rPr>
                <w:t>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_Toc12449 </w:instrText>
              </w:r>
              <w:r>
                <w:rPr>
                  <w:rFonts w:hint="eastAsia" w:ascii="仿宋" w:hAnsi="仿宋" w:eastAsia="仿宋" w:cs="仿宋"/>
                  <w:sz w:val="24"/>
                  <w:szCs w:val="24"/>
                </w:rPr>
                <w:fldChar w:fldCharType="separate"/>
              </w:r>
              <w:r>
                <w:rPr>
                  <w:rFonts w:hint="eastAsia" w:ascii="仿宋" w:hAnsi="仿宋" w:eastAsia="仿宋" w:cs="仿宋"/>
                  <w:sz w:val="24"/>
                  <w:szCs w:val="24"/>
                </w:rPr>
                <w:t>1.办学基本条件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_Toc12449 </w:instrText>
              </w:r>
              <w:r>
                <w:rPr>
                  <w:rFonts w:hint="eastAsia" w:ascii="仿宋" w:hAnsi="仿宋" w:eastAsia="仿宋" w:cs="仿宋"/>
                  <w:sz w:val="24"/>
                  <w:szCs w:val="24"/>
                </w:rPr>
                <w:fldChar w:fldCharType="separate"/>
              </w:r>
              <w:r>
                <w:rPr>
                  <w:rFonts w:hint="eastAsia" w:ascii="仿宋" w:hAnsi="仿宋" w:eastAsia="仿宋" w:cs="仿宋"/>
                  <w:sz w:val="24"/>
                  <w:szCs w:val="24"/>
                </w:rPr>
                <w:t>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_Toc14268 </w:instrText>
              </w:r>
              <w:r>
                <w:rPr>
                  <w:rFonts w:hint="eastAsia" w:ascii="仿宋" w:hAnsi="仿宋" w:eastAsia="仿宋" w:cs="仿宋"/>
                  <w:sz w:val="24"/>
                  <w:szCs w:val="24"/>
                </w:rPr>
                <w:fldChar w:fldCharType="separate"/>
              </w:r>
              <w:r>
                <w:rPr>
                  <w:rFonts w:hint="eastAsia" w:ascii="仿宋" w:hAnsi="仿宋" w:eastAsia="仿宋" w:cs="仿宋"/>
                  <w:sz w:val="24"/>
                  <w:szCs w:val="24"/>
                </w:rPr>
                <w:t>2.实践教学条件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_Toc14268 </w:instrText>
              </w:r>
              <w:r>
                <w:rPr>
                  <w:rFonts w:hint="eastAsia" w:ascii="仿宋" w:hAnsi="仿宋" w:eastAsia="仿宋" w:cs="仿宋"/>
                  <w:sz w:val="24"/>
                  <w:szCs w:val="24"/>
                </w:rPr>
                <w:fldChar w:fldCharType="separate"/>
              </w:r>
              <w:r>
                <w:rPr>
                  <w:rFonts w:hint="eastAsia" w:ascii="仿宋" w:hAnsi="仿宋" w:eastAsia="仿宋" w:cs="仿宋"/>
                  <w:sz w:val="24"/>
                  <w:szCs w:val="24"/>
                </w:rPr>
                <w:t>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_Toc14136 </w:instrText>
              </w:r>
              <w:r>
                <w:rPr>
                  <w:rFonts w:hint="eastAsia" w:ascii="仿宋" w:hAnsi="仿宋" w:eastAsia="仿宋" w:cs="仿宋"/>
                  <w:sz w:val="24"/>
                  <w:szCs w:val="24"/>
                </w:rPr>
                <w:fldChar w:fldCharType="separate"/>
              </w:r>
              <w:r>
                <w:rPr>
                  <w:rFonts w:hint="eastAsia" w:ascii="仿宋" w:hAnsi="仿宋" w:eastAsia="仿宋" w:cs="仿宋"/>
                  <w:bCs/>
                  <w:sz w:val="24"/>
                  <w:szCs w:val="24"/>
                  <w:lang w:eastAsia="zh-CN"/>
                </w:rPr>
                <w:t>（二）</w:t>
              </w:r>
              <w:r>
                <w:rPr>
                  <w:rFonts w:hint="eastAsia" w:ascii="仿宋" w:hAnsi="仿宋" w:eastAsia="仿宋" w:cs="仿宋"/>
                  <w:bCs/>
                  <w:sz w:val="24"/>
                  <w:szCs w:val="24"/>
                </w:rPr>
                <w:t>专业建设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_Toc14136 </w:instrText>
              </w:r>
              <w:r>
                <w:rPr>
                  <w:rFonts w:hint="eastAsia" w:ascii="仿宋" w:hAnsi="仿宋" w:eastAsia="仿宋" w:cs="仿宋"/>
                  <w:sz w:val="24"/>
                  <w:szCs w:val="24"/>
                </w:rPr>
                <w:fldChar w:fldCharType="separate"/>
              </w:r>
              <w:r>
                <w:rPr>
                  <w:rFonts w:hint="eastAsia" w:ascii="仿宋" w:hAnsi="仿宋" w:eastAsia="仿宋" w:cs="仿宋"/>
                  <w:sz w:val="24"/>
                  <w:szCs w:val="24"/>
                </w:rPr>
                <w:t>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_Toc29582 </w:instrText>
              </w:r>
              <w:r>
                <w:rPr>
                  <w:rFonts w:hint="eastAsia" w:ascii="仿宋" w:hAnsi="仿宋" w:eastAsia="仿宋" w:cs="仿宋"/>
                  <w:sz w:val="24"/>
                  <w:szCs w:val="24"/>
                </w:rPr>
                <w:fldChar w:fldCharType="separate"/>
              </w:r>
              <w:r>
                <w:rPr>
                  <w:rFonts w:hint="eastAsia" w:ascii="仿宋" w:hAnsi="仿宋" w:eastAsia="仿宋" w:cs="仿宋"/>
                  <w:sz w:val="24"/>
                  <w:szCs w:val="24"/>
                </w:rPr>
                <w:t>1.专业结构</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_Toc29582 </w:instrText>
              </w:r>
              <w:r>
                <w:rPr>
                  <w:rFonts w:hint="eastAsia" w:ascii="仿宋" w:hAnsi="仿宋" w:eastAsia="仿宋" w:cs="仿宋"/>
                  <w:sz w:val="24"/>
                  <w:szCs w:val="24"/>
                </w:rPr>
                <w:fldChar w:fldCharType="separate"/>
              </w:r>
              <w:r>
                <w:rPr>
                  <w:rFonts w:hint="eastAsia" w:ascii="仿宋" w:hAnsi="仿宋" w:eastAsia="仿宋" w:cs="仿宋"/>
                  <w:sz w:val="24"/>
                  <w:szCs w:val="24"/>
                </w:rPr>
                <w:t>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_Toc25245 </w:instrText>
              </w:r>
              <w:r>
                <w:rPr>
                  <w:rFonts w:hint="eastAsia" w:ascii="仿宋" w:hAnsi="仿宋" w:eastAsia="仿宋" w:cs="仿宋"/>
                  <w:sz w:val="24"/>
                  <w:szCs w:val="24"/>
                </w:rPr>
                <w:fldChar w:fldCharType="separate"/>
              </w:r>
              <w:r>
                <w:rPr>
                  <w:rFonts w:hint="eastAsia" w:ascii="仿宋" w:hAnsi="仿宋" w:eastAsia="仿宋" w:cs="仿宋"/>
                  <w:sz w:val="24"/>
                  <w:szCs w:val="24"/>
                </w:rPr>
                <w:t>2.专业及专业群建设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_Toc25245 </w:instrText>
              </w:r>
              <w:r>
                <w:rPr>
                  <w:rFonts w:hint="eastAsia" w:ascii="仿宋" w:hAnsi="仿宋" w:eastAsia="仿宋" w:cs="仿宋"/>
                  <w:sz w:val="24"/>
                  <w:szCs w:val="24"/>
                </w:rPr>
                <w:fldChar w:fldCharType="separate"/>
              </w:r>
              <w:r>
                <w:rPr>
                  <w:rFonts w:hint="eastAsia" w:ascii="仿宋" w:hAnsi="仿宋" w:eastAsia="仿宋" w:cs="仿宋"/>
                  <w:sz w:val="24"/>
                  <w:szCs w:val="24"/>
                </w:rPr>
                <w:t>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_Toc27630 </w:instrText>
              </w:r>
              <w:r>
                <w:rPr>
                  <w:rFonts w:hint="eastAsia" w:ascii="仿宋" w:hAnsi="仿宋" w:eastAsia="仿宋" w:cs="仿宋"/>
                  <w:sz w:val="24"/>
                  <w:szCs w:val="24"/>
                </w:rPr>
                <w:fldChar w:fldCharType="separate"/>
              </w:r>
              <w:r>
                <w:rPr>
                  <w:rFonts w:hint="eastAsia" w:ascii="仿宋" w:hAnsi="仿宋" w:eastAsia="仿宋" w:cs="仿宋"/>
                  <w:bCs/>
                  <w:sz w:val="24"/>
                  <w:szCs w:val="24"/>
                  <w:lang w:eastAsia="zh-CN"/>
                </w:rPr>
                <w:t>（三）</w:t>
              </w:r>
              <w:r>
                <w:rPr>
                  <w:rFonts w:hint="eastAsia" w:ascii="仿宋" w:hAnsi="仿宋" w:eastAsia="仿宋" w:cs="仿宋"/>
                  <w:bCs/>
                  <w:sz w:val="24"/>
                  <w:szCs w:val="24"/>
                </w:rPr>
                <w:t>师资队伍</w:t>
              </w:r>
              <w:r>
                <w:rPr>
                  <w:rFonts w:hint="eastAsia" w:ascii="仿宋" w:hAnsi="仿宋" w:eastAsia="仿宋" w:cs="仿宋"/>
                  <w:bCs/>
                  <w:sz w:val="24"/>
                  <w:szCs w:val="24"/>
                  <w:lang w:eastAsia="zh-CN"/>
                </w:rPr>
                <w:t>情况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_Toc27630 </w:instrText>
              </w:r>
              <w:r>
                <w:rPr>
                  <w:rFonts w:hint="eastAsia" w:ascii="仿宋" w:hAnsi="仿宋" w:eastAsia="仿宋" w:cs="仿宋"/>
                  <w:sz w:val="24"/>
                  <w:szCs w:val="24"/>
                </w:rPr>
                <w:fldChar w:fldCharType="separate"/>
              </w:r>
              <w:r>
                <w:rPr>
                  <w:rFonts w:hint="eastAsia" w:ascii="仿宋" w:hAnsi="仿宋" w:eastAsia="仿宋" w:cs="仿宋"/>
                  <w:sz w:val="24"/>
                  <w:szCs w:val="24"/>
                </w:rPr>
                <w:t>10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_Toc17522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（四）招生情况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_Toc17522 </w:instrText>
              </w:r>
              <w:r>
                <w:rPr>
                  <w:rFonts w:hint="eastAsia" w:ascii="仿宋" w:hAnsi="仿宋" w:eastAsia="仿宋" w:cs="仿宋"/>
                  <w:sz w:val="24"/>
                  <w:szCs w:val="24"/>
                </w:rPr>
                <w:fldChar w:fldCharType="separate"/>
              </w:r>
              <w:r>
                <w:rPr>
                  <w:rFonts w:hint="eastAsia" w:ascii="仿宋" w:hAnsi="仿宋" w:eastAsia="仿宋" w:cs="仿宋"/>
                  <w:sz w:val="24"/>
                  <w:szCs w:val="24"/>
                </w:rPr>
                <w:t>11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_Toc13740 </w:instrText>
              </w:r>
              <w:r>
                <w:rPr>
                  <w:rFonts w:hint="eastAsia" w:ascii="仿宋" w:hAnsi="仿宋" w:eastAsia="仿宋" w:cs="仿宋"/>
                  <w:sz w:val="24"/>
                  <w:szCs w:val="24"/>
                </w:rPr>
                <w:fldChar w:fldCharType="separate"/>
              </w:r>
              <w:r>
                <w:rPr>
                  <w:rFonts w:hint="eastAsia" w:ascii="仿宋" w:hAnsi="仿宋" w:eastAsia="仿宋" w:cs="仿宋"/>
                  <w:sz w:val="24"/>
                  <w:szCs w:val="24"/>
                </w:rPr>
                <w:t>1.高质量完成各类型招生任务</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_Toc13740 </w:instrText>
              </w:r>
              <w:r>
                <w:rPr>
                  <w:rFonts w:hint="eastAsia" w:ascii="仿宋" w:hAnsi="仿宋" w:eastAsia="仿宋" w:cs="仿宋"/>
                  <w:sz w:val="24"/>
                  <w:szCs w:val="24"/>
                </w:rPr>
                <w:fldChar w:fldCharType="separate"/>
              </w:r>
              <w:r>
                <w:rPr>
                  <w:rFonts w:hint="eastAsia" w:ascii="仿宋" w:hAnsi="仿宋" w:eastAsia="仿宋" w:cs="仿宋"/>
                  <w:sz w:val="24"/>
                  <w:szCs w:val="24"/>
                </w:rPr>
                <w:t>11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_Toc10521 </w:instrText>
              </w:r>
              <w:r>
                <w:rPr>
                  <w:rFonts w:hint="eastAsia" w:ascii="仿宋" w:hAnsi="仿宋" w:eastAsia="仿宋" w:cs="仿宋"/>
                  <w:sz w:val="24"/>
                  <w:szCs w:val="24"/>
                </w:rPr>
                <w:fldChar w:fldCharType="separate"/>
              </w:r>
              <w:r>
                <w:rPr>
                  <w:rFonts w:hint="eastAsia" w:ascii="仿宋" w:hAnsi="仿宋" w:eastAsia="仿宋" w:cs="仿宋"/>
                  <w:sz w:val="24"/>
                  <w:szCs w:val="24"/>
                </w:rPr>
                <w:t>2.生源数量充足，质量有提高</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_Toc10521 </w:instrText>
              </w:r>
              <w:r>
                <w:rPr>
                  <w:rFonts w:hint="eastAsia" w:ascii="仿宋" w:hAnsi="仿宋" w:eastAsia="仿宋" w:cs="仿宋"/>
                  <w:sz w:val="24"/>
                  <w:szCs w:val="24"/>
                </w:rPr>
                <w:fldChar w:fldCharType="separate"/>
              </w:r>
              <w:r>
                <w:rPr>
                  <w:rFonts w:hint="eastAsia" w:ascii="仿宋" w:hAnsi="仿宋" w:eastAsia="仿宋" w:cs="仿宋"/>
                  <w:sz w:val="24"/>
                  <w:szCs w:val="24"/>
                </w:rPr>
                <w:t>11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_Toc4914 </w:instrText>
              </w:r>
              <w:r>
                <w:rPr>
                  <w:rFonts w:hint="eastAsia" w:ascii="仿宋" w:hAnsi="仿宋" w:eastAsia="仿宋" w:cs="仿宋"/>
                  <w:sz w:val="24"/>
                  <w:szCs w:val="24"/>
                </w:rPr>
                <w:fldChar w:fldCharType="separate"/>
              </w:r>
              <w:r>
                <w:rPr>
                  <w:rFonts w:hint="eastAsia" w:ascii="仿宋" w:hAnsi="仿宋" w:eastAsia="仿宋" w:cs="仿宋"/>
                  <w:sz w:val="24"/>
                  <w:szCs w:val="24"/>
                </w:rPr>
                <w:t>3.保持较高的新生报到率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_Toc4914 </w:instrText>
              </w:r>
              <w:r>
                <w:rPr>
                  <w:rFonts w:hint="eastAsia" w:ascii="仿宋" w:hAnsi="仿宋" w:eastAsia="仿宋" w:cs="仿宋"/>
                  <w:sz w:val="24"/>
                  <w:szCs w:val="24"/>
                </w:rPr>
                <w:fldChar w:fldCharType="separate"/>
              </w:r>
              <w:r>
                <w:rPr>
                  <w:rFonts w:hint="eastAsia" w:ascii="仿宋" w:hAnsi="仿宋" w:eastAsia="仿宋" w:cs="仿宋"/>
                  <w:sz w:val="24"/>
                  <w:szCs w:val="24"/>
                </w:rPr>
                <w:t>12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_Toc31417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（五）师生荣誉</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_Toc31417 </w:instrText>
              </w:r>
              <w:r>
                <w:rPr>
                  <w:rFonts w:hint="eastAsia" w:ascii="仿宋" w:hAnsi="仿宋" w:eastAsia="仿宋" w:cs="仿宋"/>
                  <w:sz w:val="24"/>
                  <w:szCs w:val="24"/>
                </w:rPr>
                <w:fldChar w:fldCharType="separate"/>
              </w:r>
              <w:r>
                <w:rPr>
                  <w:rFonts w:hint="eastAsia" w:ascii="仿宋" w:hAnsi="仿宋" w:eastAsia="仿宋" w:cs="仿宋"/>
                  <w:sz w:val="24"/>
                  <w:szCs w:val="24"/>
                </w:rPr>
                <w:t>12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_Toc14819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1.教师荣誉</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_Toc14819 </w:instrText>
              </w:r>
              <w:r>
                <w:rPr>
                  <w:rFonts w:hint="eastAsia" w:ascii="仿宋" w:hAnsi="仿宋" w:eastAsia="仿宋" w:cs="仿宋"/>
                  <w:sz w:val="24"/>
                  <w:szCs w:val="24"/>
                </w:rPr>
                <w:fldChar w:fldCharType="separate"/>
              </w:r>
              <w:r>
                <w:rPr>
                  <w:rFonts w:hint="eastAsia" w:ascii="仿宋" w:hAnsi="仿宋" w:eastAsia="仿宋" w:cs="仿宋"/>
                  <w:sz w:val="24"/>
                  <w:szCs w:val="24"/>
                </w:rPr>
                <w:t>12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_Toc9622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2.学生荣誉</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_Toc9622 </w:instrText>
              </w:r>
              <w:r>
                <w:rPr>
                  <w:rFonts w:hint="eastAsia" w:ascii="仿宋" w:hAnsi="仿宋" w:eastAsia="仿宋" w:cs="仿宋"/>
                  <w:sz w:val="24"/>
                  <w:szCs w:val="24"/>
                </w:rPr>
                <w:fldChar w:fldCharType="separate"/>
              </w:r>
              <w:r>
                <w:rPr>
                  <w:rFonts w:hint="eastAsia" w:ascii="仿宋" w:hAnsi="仿宋" w:eastAsia="仿宋" w:cs="仿宋"/>
                  <w:sz w:val="24"/>
                  <w:szCs w:val="24"/>
                </w:rPr>
                <w:t>13</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06"/>
                </w:tabs>
                <w:rPr>
                  <w:rFonts w:hint="eastAsia" w:ascii="楷体" w:hAnsi="楷体" w:eastAsia="楷体" w:cs="楷体"/>
                  <w:b/>
                  <w:bCs/>
                  <w:sz w:val="24"/>
                  <w:szCs w:val="24"/>
                </w:rPr>
              </w:pPr>
              <w:r>
                <w:rPr>
                  <w:rFonts w:hint="eastAsia" w:ascii="楷体" w:hAnsi="楷体" w:eastAsia="楷体" w:cs="楷体"/>
                  <w:b/>
                  <w:bCs/>
                  <w:sz w:val="24"/>
                  <w:szCs w:val="24"/>
                </w:rPr>
                <w:fldChar w:fldCharType="begin"/>
              </w:r>
              <w:r>
                <w:rPr>
                  <w:rFonts w:hint="eastAsia" w:ascii="楷体" w:hAnsi="楷体" w:eastAsia="楷体" w:cs="楷体"/>
                  <w:b/>
                  <w:bCs/>
                  <w:sz w:val="24"/>
                  <w:szCs w:val="24"/>
                </w:rPr>
                <w:instrText xml:space="preserve"> HYPERLINK \l _Toc1948 </w:instrText>
              </w:r>
              <w:r>
                <w:rPr>
                  <w:rFonts w:hint="eastAsia" w:ascii="楷体" w:hAnsi="楷体" w:eastAsia="楷体" w:cs="楷体"/>
                  <w:b/>
                  <w:bCs/>
                  <w:sz w:val="24"/>
                  <w:szCs w:val="24"/>
                </w:rPr>
                <w:fldChar w:fldCharType="separate"/>
              </w:r>
              <w:r>
                <w:rPr>
                  <w:rFonts w:hint="eastAsia" w:ascii="楷体" w:hAnsi="楷体" w:eastAsia="楷体" w:cs="楷体"/>
                  <w:b/>
                  <w:bCs/>
                  <w:sz w:val="24"/>
                  <w:szCs w:val="24"/>
                  <w:lang w:eastAsia="zh-CN"/>
                </w:rPr>
                <w:t>二、</w:t>
              </w:r>
              <w:r>
                <w:rPr>
                  <w:rFonts w:hint="eastAsia" w:ascii="楷体" w:hAnsi="楷体" w:eastAsia="楷体" w:cs="楷体"/>
                  <w:b/>
                  <w:bCs/>
                  <w:sz w:val="24"/>
                  <w:szCs w:val="24"/>
                </w:rPr>
                <w:t>学生发展</w:t>
              </w:r>
              <w:r>
                <w:rPr>
                  <w:rFonts w:hint="eastAsia" w:ascii="楷体" w:hAnsi="楷体" w:eastAsia="楷体" w:cs="楷体"/>
                  <w:b/>
                  <w:bCs/>
                  <w:sz w:val="24"/>
                  <w:szCs w:val="24"/>
                </w:rPr>
                <w:tab/>
              </w:r>
              <w:r>
                <w:rPr>
                  <w:rFonts w:hint="eastAsia" w:ascii="楷体" w:hAnsi="楷体" w:eastAsia="楷体" w:cs="楷体"/>
                  <w:b/>
                  <w:bCs/>
                  <w:sz w:val="24"/>
                  <w:szCs w:val="24"/>
                </w:rPr>
                <w:fldChar w:fldCharType="begin"/>
              </w:r>
              <w:r>
                <w:rPr>
                  <w:rFonts w:hint="eastAsia" w:ascii="楷体" w:hAnsi="楷体" w:eastAsia="楷体" w:cs="楷体"/>
                  <w:b/>
                  <w:bCs/>
                  <w:sz w:val="24"/>
                  <w:szCs w:val="24"/>
                </w:rPr>
                <w:instrText xml:space="preserve"> PAGEREF _Toc1948 </w:instrText>
              </w:r>
              <w:r>
                <w:rPr>
                  <w:rFonts w:hint="eastAsia" w:ascii="楷体" w:hAnsi="楷体" w:eastAsia="楷体" w:cs="楷体"/>
                  <w:b/>
                  <w:bCs/>
                  <w:sz w:val="24"/>
                  <w:szCs w:val="24"/>
                </w:rPr>
                <w:fldChar w:fldCharType="separate"/>
              </w:r>
              <w:r>
                <w:rPr>
                  <w:rFonts w:hint="eastAsia" w:ascii="楷体" w:hAnsi="楷体" w:eastAsia="楷体" w:cs="楷体"/>
                  <w:b/>
                  <w:bCs/>
                  <w:sz w:val="24"/>
                  <w:szCs w:val="24"/>
                </w:rPr>
                <w:t>15</w:t>
              </w:r>
              <w:r>
                <w:rPr>
                  <w:rFonts w:hint="eastAsia" w:ascii="楷体" w:hAnsi="楷体" w:eastAsia="楷体" w:cs="楷体"/>
                  <w:b/>
                  <w:bCs/>
                  <w:sz w:val="24"/>
                  <w:szCs w:val="24"/>
                </w:rPr>
                <w:fldChar w:fldCharType="end"/>
              </w:r>
              <w:r>
                <w:rPr>
                  <w:rFonts w:hint="eastAsia" w:ascii="楷体" w:hAnsi="楷体" w:eastAsia="楷体" w:cs="楷体"/>
                  <w:b/>
                  <w:bCs/>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_Toc20509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（一）立德树人</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_Toc20509 </w:instrText>
              </w:r>
              <w:r>
                <w:rPr>
                  <w:rFonts w:hint="eastAsia" w:ascii="仿宋" w:hAnsi="仿宋" w:eastAsia="仿宋" w:cs="仿宋"/>
                  <w:sz w:val="24"/>
                  <w:szCs w:val="24"/>
                </w:rPr>
                <w:fldChar w:fldCharType="separate"/>
              </w:r>
              <w:r>
                <w:rPr>
                  <w:rFonts w:hint="eastAsia" w:ascii="仿宋" w:hAnsi="仿宋" w:eastAsia="仿宋" w:cs="仿宋"/>
                  <w:sz w:val="24"/>
                  <w:szCs w:val="24"/>
                </w:rPr>
                <w:t>15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_Toc20749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1.学生思想政治教育</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_Toc20749 </w:instrText>
              </w:r>
              <w:r>
                <w:rPr>
                  <w:rFonts w:hint="eastAsia" w:ascii="仿宋" w:hAnsi="仿宋" w:eastAsia="仿宋" w:cs="仿宋"/>
                  <w:sz w:val="24"/>
                  <w:szCs w:val="24"/>
                </w:rPr>
                <w:fldChar w:fldCharType="separate"/>
              </w:r>
              <w:r>
                <w:rPr>
                  <w:rFonts w:hint="eastAsia" w:ascii="仿宋" w:hAnsi="仿宋" w:eastAsia="仿宋" w:cs="仿宋"/>
                  <w:sz w:val="24"/>
                  <w:szCs w:val="24"/>
                </w:rPr>
                <w:t>15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_Toc3151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2.学生综合素质教育</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_Toc3151 </w:instrText>
              </w:r>
              <w:r>
                <w:rPr>
                  <w:rFonts w:hint="eastAsia" w:ascii="仿宋" w:hAnsi="仿宋" w:eastAsia="仿宋" w:cs="仿宋"/>
                  <w:sz w:val="24"/>
                  <w:szCs w:val="24"/>
                </w:rPr>
                <w:fldChar w:fldCharType="separate"/>
              </w:r>
              <w:r>
                <w:rPr>
                  <w:rFonts w:hint="eastAsia" w:ascii="仿宋" w:hAnsi="仿宋" w:eastAsia="仿宋" w:cs="仿宋"/>
                  <w:sz w:val="24"/>
                  <w:szCs w:val="24"/>
                </w:rPr>
                <w:t>18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_Toc5482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（二）就业质量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_Toc5482 </w:instrText>
              </w:r>
              <w:r>
                <w:rPr>
                  <w:rFonts w:hint="eastAsia" w:ascii="仿宋" w:hAnsi="仿宋" w:eastAsia="仿宋" w:cs="仿宋"/>
                  <w:sz w:val="24"/>
                  <w:szCs w:val="24"/>
                </w:rPr>
                <w:fldChar w:fldCharType="separate"/>
              </w:r>
              <w:r>
                <w:rPr>
                  <w:rFonts w:hint="eastAsia" w:ascii="仿宋" w:hAnsi="仿宋" w:eastAsia="仿宋" w:cs="仿宋"/>
                  <w:sz w:val="24"/>
                  <w:szCs w:val="24"/>
                </w:rPr>
                <w:t>19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_Toc12508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lang w:val="en-US" w:eastAsia="zh-Hans"/>
                </w:rPr>
                <w:t>.</w:t>
              </w:r>
              <w:r>
                <w:rPr>
                  <w:rFonts w:hint="eastAsia" w:ascii="仿宋" w:hAnsi="仿宋" w:eastAsia="仿宋" w:cs="仿宋"/>
                  <w:sz w:val="24"/>
                  <w:szCs w:val="24"/>
                </w:rPr>
                <w:t>毕业生就业质量优良</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_Toc12508 </w:instrText>
              </w:r>
              <w:r>
                <w:rPr>
                  <w:rFonts w:hint="eastAsia" w:ascii="仿宋" w:hAnsi="仿宋" w:eastAsia="仿宋" w:cs="仿宋"/>
                  <w:sz w:val="24"/>
                  <w:szCs w:val="24"/>
                </w:rPr>
                <w:fldChar w:fldCharType="separate"/>
              </w:r>
              <w:r>
                <w:rPr>
                  <w:rFonts w:hint="eastAsia" w:ascii="仿宋" w:hAnsi="仿宋" w:eastAsia="仿宋" w:cs="仿宋"/>
                  <w:sz w:val="24"/>
                  <w:szCs w:val="24"/>
                </w:rPr>
                <w:t>19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_Toc1031 </w:instrText>
              </w:r>
              <w:r>
                <w:rPr>
                  <w:rFonts w:hint="eastAsia" w:ascii="仿宋" w:hAnsi="仿宋" w:eastAsia="仿宋" w:cs="仿宋"/>
                  <w:sz w:val="24"/>
                  <w:szCs w:val="24"/>
                </w:rPr>
                <w:fldChar w:fldCharType="separate"/>
              </w:r>
              <w:r>
                <w:rPr>
                  <w:rFonts w:hint="eastAsia" w:ascii="仿宋" w:hAnsi="仿宋" w:eastAsia="仿宋" w:cs="仿宋"/>
                  <w:sz w:val="24"/>
                  <w:szCs w:val="24"/>
                </w:rPr>
                <w:t>2</w:t>
              </w:r>
              <w:r>
                <w:rPr>
                  <w:rFonts w:hint="eastAsia" w:ascii="仿宋" w:hAnsi="仿宋" w:eastAsia="仿宋" w:cs="仿宋"/>
                  <w:sz w:val="24"/>
                  <w:szCs w:val="24"/>
                  <w:lang w:val="en-US" w:eastAsia="zh-Hans"/>
                </w:rPr>
                <w:t>.</w:t>
              </w:r>
              <w:r>
                <w:rPr>
                  <w:rFonts w:hint="eastAsia" w:ascii="仿宋" w:hAnsi="仿宋" w:eastAsia="仿宋" w:cs="仿宋"/>
                  <w:sz w:val="24"/>
                  <w:szCs w:val="24"/>
                </w:rPr>
                <w:t>毕业生就业市场求人倍率稳中有升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_Toc1031 </w:instrText>
              </w:r>
              <w:r>
                <w:rPr>
                  <w:rFonts w:hint="eastAsia" w:ascii="仿宋" w:hAnsi="仿宋" w:eastAsia="仿宋" w:cs="仿宋"/>
                  <w:sz w:val="24"/>
                  <w:szCs w:val="24"/>
                </w:rPr>
                <w:fldChar w:fldCharType="separate"/>
              </w:r>
              <w:r>
                <w:rPr>
                  <w:rFonts w:hint="eastAsia" w:ascii="仿宋" w:hAnsi="仿宋" w:eastAsia="仿宋" w:cs="仿宋"/>
                  <w:sz w:val="24"/>
                  <w:szCs w:val="24"/>
                </w:rPr>
                <w:t>20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_Toc22710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（三）在校体验</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_Toc22710 </w:instrText>
              </w:r>
              <w:r>
                <w:rPr>
                  <w:rFonts w:hint="eastAsia" w:ascii="仿宋" w:hAnsi="仿宋" w:eastAsia="仿宋" w:cs="仿宋"/>
                  <w:sz w:val="24"/>
                  <w:szCs w:val="24"/>
                </w:rPr>
                <w:fldChar w:fldCharType="separate"/>
              </w:r>
              <w:r>
                <w:rPr>
                  <w:rFonts w:hint="eastAsia" w:ascii="仿宋" w:hAnsi="仿宋" w:eastAsia="仿宋" w:cs="仿宋"/>
                  <w:sz w:val="24"/>
                  <w:szCs w:val="24"/>
                </w:rPr>
                <w:t>21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_Toc29703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1.安全管理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_Toc29703 </w:instrText>
              </w:r>
              <w:r>
                <w:rPr>
                  <w:rFonts w:hint="eastAsia" w:ascii="仿宋" w:hAnsi="仿宋" w:eastAsia="仿宋" w:cs="仿宋"/>
                  <w:sz w:val="24"/>
                  <w:szCs w:val="24"/>
                </w:rPr>
                <w:fldChar w:fldCharType="separate"/>
              </w:r>
              <w:r>
                <w:rPr>
                  <w:rFonts w:hint="eastAsia" w:ascii="仿宋" w:hAnsi="仿宋" w:eastAsia="仿宋" w:cs="仿宋"/>
                  <w:sz w:val="24"/>
                  <w:szCs w:val="24"/>
                </w:rPr>
                <w:t>21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_Toc2598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2.社团活动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_Toc2598 </w:instrText>
              </w:r>
              <w:r>
                <w:rPr>
                  <w:rFonts w:hint="eastAsia" w:ascii="仿宋" w:hAnsi="仿宋" w:eastAsia="仿宋" w:cs="仿宋"/>
                  <w:sz w:val="24"/>
                  <w:szCs w:val="24"/>
                </w:rPr>
                <w:fldChar w:fldCharType="separate"/>
              </w:r>
              <w:r>
                <w:rPr>
                  <w:rFonts w:hint="eastAsia" w:ascii="仿宋" w:hAnsi="仿宋" w:eastAsia="仿宋" w:cs="仿宋"/>
                  <w:sz w:val="24"/>
                  <w:szCs w:val="24"/>
                </w:rPr>
                <w:t>21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_Toc13060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3.学生服务</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_Toc13060 </w:instrText>
              </w:r>
              <w:r>
                <w:rPr>
                  <w:rFonts w:hint="eastAsia" w:ascii="仿宋" w:hAnsi="仿宋" w:eastAsia="仿宋" w:cs="仿宋"/>
                  <w:sz w:val="24"/>
                  <w:szCs w:val="24"/>
                </w:rPr>
                <w:fldChar w:fldCharType="separate"/>
              </w:r>
              <w:r>
                <w:rPr>
                  <w:rFonts w:hint="eastAsia" w:ascii="仿宋" w:hAnsi="仿宋" w:eastAsia="仿宋" w:cs="仿宋"/>
                  <w:sz w:val="24"/>
                  <w:szCs w:val="24"/>
                </w:rPr>
                <w:t>22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_Toc19563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4.心理健康工作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_Toc19563 </w:instrText>
              </w:r>
              <w:r>
                <w:rPr>
                  <w:rFonts w:hint="eastAsia" w:ascii="仿宋" w:hAnsi="仿宋" w:eastAsia="仿宋" w:cs="仿宋"/>
                  <w:sz w:val="24"/>
                  <w:szCs w:val="24"/>
                </w:rPr>
                <w:fldChar w:fldCharType="separate"/>
              </w:r>
              <w:r>
                <w:rPr>
                  <w:rFonts w:hint="eastAsia" w:ascii="仿宋" w:hAnsi="仿宋" w:eastAsia="仿宋" w:cs="仿宋"/>
                  <w:sz w:val="24"/>
                  <w:szCs w:val="24"/>
                </w:rPr>
                <w:t>23</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_Toc798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5.学生资助</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_Toc798 </w:instrText>
              </w:r>
              <w:r>
                <w:rPr>
                  <w:rFonts w:hint="eastAsia" w:ascii="仿宋" w:hAnsi="仿宋" w:eastAsia="仿宋" w:cs="仿宋"/>
                  <w:sz w:val="24"/>
                  <w:szCs w:val="24"/>
                </w:rPr>
                <w:fldChar w:fldCharType="separate"/>
              </w:r>
              <w:r>
                <w:rPr>
                  <w:rFonts w:hint="eastAsia" w:ascii="仿宋" w:hAnsi="仿宋" w:eastAsia="仿宋" w:cs="仿宋"/>
                  <w:sz w:val="24"/>
                  <w:szCs w:val="24"/>
                </w:rPr>
                <w:t>23</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_Toc22911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（四）职业发展</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_Toc22911 </w:instrText>
              </w:r>
              <w:r>
                <w:rPr>
                  <w:rFonts w:hint="eastAsia" w:ascii="仿宋" w:hAnsi="仿宋" w:eastAsia="仿宋" w:cs="仿宋"/>
                  <w:sz w:val="24"/>
                  <w:szCs w:val="24"/>
                </w:rPr>
                <w:fldChar w:fldCharType="separate"/>
              </w:r>
              <w:r>
                <w:rPr>
                  <w:rFonts w:hint="eastAsia" w:ascii="仿宋" w:hAnsi="仿宋" w:eastAsia="仿宋" w:cs="仿宋"/>
                  <w:sz w:val="24"/>
                  <w:szCs w:val="24"/>
                </w:rPr>
                <w:t>24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_Toc7516 </w:instrText>
              </w:r>
              <w:r>
                <w:rPr>
                  <w:rFonts w:hint="eastAsia" w:ascii="仿宋" w:hAnsi="仿宋" w:eastAsia="仿宋" w:cs="仿宋"/>
                  <w:sz w:val="24"/>
                  <w:szCs w:val="24"/>
                </w:rPr>
                <w:fldChar w:fldCharType="separate"/>
              </w:r>
              <w:r>
                <w:rPr>
                  <w:rFonts w:hint="eastAsia" w:ascii="仿宋" w:hAnsi="仿宋" w:eastAsia="仿宋" w:cs="仿宋"/>
                  <w:sz w:val="24"/>
                  <w:szCs w:val="24"/>
                </w:rPr>
                <w:t>1.大学生创新创业实践平台育人功能</w:t>
              </w:r>
              <w:r>
                <w:rPr>
                  <w:rFonts w:hint="eastAsia" w:ascii="仿宋" w:hAnsi="仿宋" w:eastAsia="仿宋" w:cs="仿宋"/>
                  <w:sz w:val="24"/>
                  <w:szCs w:val="24"/>
                  <w:lang w:eastAsia="zh-CN"/>
                </w:rPr>
                <w:t>见</w:t>
              </w:r>
              <w:r>
                <w:rPr>
                  <w:rFonts w:hint="eastAsia" w:ascii="仿宋" w:hAnsi="仿宋" w:eastAsia="仿宋" w:cs="仿宋"/>
                  <w:sz w:val="24"/>
                  <w:szCs w:val="24"/>
                </w:rPr>
                <w:t>成效</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_Toc7516 </w:instrText>
              </w:r>
              <w:r>
                <w:rPr>
                  <w:rFonts w:hint="eastAsia" w:ascii="仿宋" w:hAnsi="仿宋" w:eastAsia="仿宋" w:cs="仿宋"/>
                  <w:sz w:val="24"/>
                  <w:szCs w:val="24"/>
                </w:rPr>
                <w:fldChar w:fldCharType="separate"/>
              </w:r>
              <w:r>
                <w:rPr>
                  <w:rFonts w:hint="eastAsia" w:ascii="仿宋" w:hAnsi="仿宋" w:eastAsia="仿宋" w:cs="仿宋"/>
                  <w:sz w:val="24"/>
                  <w:szCs w:val="24"/>
                </w:rPr>
                <w:t>24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_Toc6520 </w:instrText>
              </w:r>
              <w:r>
                <w:rPr>
                  <w:rFonts w:hint="eastAsia" w:ascii="仿宋" w:hAnsi="仿宋" w:eastAsia="仿宋" w:cs="仿宋"/>
                  <w:sz w:val="24"/>
                  <w:szCs w:val="24"/>
                </w:rPr>
                <w:fldChar w:fldCharType="separate"/>
              </w:r>
              <w:r>
                <w:rPr>
                  <w:rFonts w:hint="eastAsia" w:ascii="仿宋" w:hAnsi="仿宋" w:eastAsia="仿宋" w:cs="仿宋"/>
                  <w:sz w:val="24"/>
                  <w:szCs w:val="24"/>
                </w:rPr>
                <w:t>2.创新创业竞赛活动氛围浓厚</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_Toc6520 </w:instrText>
              </w:r>
              <w:r>
                <w:rPr>
                  <w:rFonts w:hint="eastAsia" w:ascii="仿宋" w:hAnsi="仿宋" w:eastAsia="仿宋" w:cs="仿宋"/>
                  <w:sz w:val="24"/>
                  <w:szCs w:val="24"/>
                </w:rPr>
                <w:fldChar w:fldCharType="separate"/>
              </w:r>
              <w:r>
                <w:rPr>
                  <w:rFonts w:hint="eastAsia" w:ascii="仿宋" w:hAnsi="仿宋" w:eastAsia="仿宋" w:cs="仿宋"/>
                  <w:sz w:val="24"/>
                  <w:szCs w:val="24"/>
                </w:rPr>
                <w:t>24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_Toc14333 </w:instrText>
              </w:r>
              <w:r>
                <w:rPr>
                  <w:rFonts w:hint="eastAsia" w:ascii="仿宋" w:hAnsi="仿宋" w:eastAsia="仿宋" w:cs="仿宋"/>
                  <w:sz w:val="24"/>
                  <w:szCs w:val="24"/>
                </w:rPr>
                <w:fldChar w:fldCharType="separate"/>
              </w:r>
              <w:r>
                <w:rPr>
                  <w:rFonts w:hint="eastAsia" w:ascii="仿宋" w:hAnsi="仿宋" w:eastAsia="仿宋" w:cs="仿宋"/>
                  <w:sz w:val="24"/>
                  <w:szCs w:val="24"/>
                </w:rPr>
                <w:t>3.就业创业师资队伍建设</w:t>
              </w:r>
              <w:r>
                <w:rPr>
                  <w:rFonts w:hint="eastAsia" w:ascii="仿宋" w:hAnsi="仿宋" w:eastAsia="仿宋" w:cs="仿宋"/>
                  <w:sz w:val="24"/>
                  <w:szCs w:val="24"/>
                  <w:lang w:eastAsia="zh-CN"/>
                </w:rPr>
                <w:t>成效显著</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_Toc14333 </w:instrText>
              </w:r>
              <w:r>
                <w:rPr>
                  <w:rFonts w:hint="eastAsia" w:ascii="仿宋" w:hAnsi="仿宋" w:eastAsia="仿宋" w:cs="仿宋"/>
                  <w:sz w:val="24"/>
                  <w:szCs w:val="24"/>
                </w:rPr>
                <w:fldChar w:fldCharType="separate"/>
              </w:r>
              <w:r>
                <w:rPr>
                  <w:rFonts w:hint="eastAsia" w:ascii="仿宋" w:hAnsi="仿宋" w:eastAsia="仿宋" w:cs="仿宋"/>
                  <w:sz w:val="24"/>
                  <w:szCs w:val="24"/>
                </w:rPr>
                <w:t>25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_Toc9741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lang w:eastAsia="zh-CN"/>
                </w:rPr>
                <w:t>学生创新创业意识</w:t>
              </w:r>
              <w:r>
                <w:rPr>
                  <w:rFonts w:hint="eastAsia" w:ascii="仿宋" w:hAnsi="仿宋" w:eastAsia="仿宋" w:cs="仿宋"/>
                  <w:sz w:val="24"/>
                  <w:szCs w:val="24"/>
                </w:rPr>
                <w:t>进一步增强</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_Toc9741 </w:instrText>
              </w:r>
              <w:r>
                <w:rPr>
                  <w:rFonts w:hint="eastAsia" w:ascii="仿宋" w:hAnsi="仿宋" w:eastAsia="仿宋" w:cs="仿宋"/>
                  <w:sz w:val="24"/>
                  <w:szCs w:val="24"/>
                </w:rPr>
                <w:fldChar w:fldCharType="separate"/>
              </w:r>
              <w:r>
                <w:rPr>
                  <w:rFonts w:hint="eastAsia" w:ascii="仿宋" w:hAnsi="仿宋" w:eastAsia="仿宋" w:cs="仿宋"/>
                  <w:sz w:val="24"/>
                  <w:szCs w:val="24"/>
                </w:rPr>
                <w:t>25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_Toc14447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（五）弘扬劳模精神和工匠精神</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_Toc14447 </w:instrText>
              </w:r>
              <w:r>
                <w:rPr>
                  <w:rFonts w:hint="eastAsia" w:ascii="仿宋" w:hAnsi="仿宋" w:eastAsia="仿宋" w:cs="仿宋"/>
                  <w:sz w:val="24"/>
                  <w:szCs w:val="24"/>
                </w:rPr>
                <w:fldChar w:fldCharType="separate"/>
              </w:r>
              <w:r>
                <w:rPr>
                  <w:rFonts w:hint="eastAsia" w:ascii="仿宋" w:hAnsi="仿宋" w:eastAsia="仿宋" w:cs="仿宋"/>
                  <w:sz w:val="24"/>
                  <w:szCs w:val="24"/>
                </w:rPr>
                <w:t>25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_Toc32582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lang w:val="en-US" w:eastAsia="zh-Hans"/>
                </w:rPr>
                <w:t>.</w:t>
              </w:r>
              <w:r>
                <w:rPr>
                  <w:rFonts w:hint="eastAsia" w:ascii="仿宋" w:hAnsi="仿宋" w:eastAsia="仿宋" w:cs="仿宋"/>
                  <w:sz w:val="24"/>
                  <w:szCs w:val="24"/>
                </w:rPr>
                <w:t>加强劳动教育，弘扬劳模精神</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_Toc32582 </w:instrText>
              </w:r>
              <w:r>
                <w:rPr>
                  <w:rFonts w:hint="eastAsia" w:ascii="仿宋" w:hAnsi="仿宋" w:eastAsia="仿宋" w:cs="仿宋"/>
                  <w:sz w:val="24"/>
                  <w:szCs w:val="24"/>
                </w:rPr>
                <w:fldChar w:fldCharType="separate"/>
              </w:r>
              <w:r>
                <w:rPr>
                  <w:rFonts w:hint="eastAsia" w:ascii="仿宋" w:hAnsi="仿宋" w:eastAsia="仿宋" w:cs="仿宋"/>
                  <w:sz w:val="24"/>
                  <w:szCs w:val="24"/>
                </w:rPr>
                <w:t>25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_Toc13757 </w:instrText>
              </w:r>
              <w:r>
                <w:rPr>
                  <w:rFonts w:hint="eastAsia" w:ascii="仿宋" w:hAnsi="仿宋" w:eastAsia="仿宋" w:cs="仿宋"/>
                  <w:sz w:val="24"/>
                  <w:szCs w:val="24"/>
                </w:rPr>
                <w:fldChar w:fldCharType="separate"/>
              </w:r>
              <w:r>
                <w:rPr>
                  <w:rFonts w:hint="eastAsia" w:ascii="仿宋" w:hAnsi="仿宋" w:eastAsia="仿宋" w:cs="仿宋"/>
                  <w:sz w:val="24"/>
                  <w:szCs w:val="24"/>
                </w:rPr>
                <w:t>2</w:t>
              </w:r>
              <w:r>
                <w:rPr>
                  <w:rFonts w:hint="eastAsia" w:ascii="仿宋" w:hAnsi="仿宋" w:eastAsia="仿宋" w:cs="仿宋"/>
                  <w:sz w:val="24"/>
                  <w:szCs w:val="24"/>
                  <w:lang w:val="en-US" w:eastAsia="zh-Hans"/>
                </w:rPr>
                <w:t>.</w:t>
              </w:r>
              <w:r>
                <w:rPr>
                  <w:rFonts w:hint="eastAsia" w:ascii="仿宋" w:hAnsi="仿宋" w:eastAsia="仿宋" w:cs="仿宋"/>
                  <w:sz w:val="24"/>
                  <w:szCs w:val="24"/>
                </w:rPr>
                <w:t>加强职业引导，弘扬工匠精神</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_Toc13757 </w:instrText>
              </w:r>
              <w:r>
                <w:rPr>
                  <w:rFonts w:hint="eastAsia" w:ascii="仿宋" w:hAnsi="仿宋" w:eastAsia="仿宋" w:cs="仿宋"/>
                  <w:sz w:val="24"/>
                  <w:szCs w:val="24"/>
                </w:rPr>
                <w:fldChar w:fldCharType="separate"/>
              </w:r>
              <w:r>
                <w:rPr>
                  <w:rFonts w:hint="eastAsia" w:ascii="仿宋" w:hAnsi="仿宋" w:eastAsia="仿宋" w:cs="仿宋"/>
                  <w:sz w:val="24"/>
                  <w:szCs w:val="24"/>
                </w:rPr>
                <w:t>26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_Toc8856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3.</w:t>
              </w:r>
              <w:r>
                <w:rPr>
                  <w:rFonts w:hint="eastAsia" w:ascii="仿宋" w:hAnsi="仿宋" w:eastAsia="仿宋" w:cs="仿宋"/>
                  <w:sz w:val="24"/>
                  <w:szCs w:val="24"/>
                </w:rPr>
                <w:t>开设“弘德育才”思政学堂</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_Toc8856 </w:instrText>
              </w:r>
              <w:r>
                <w:rPr>
                  <w:rFonts w:hint="eastAsia" w:ascii="仿宋" w:hAnsi="仿宋" w:eastAsia="仿宋" w:cs="仿宋"/>
                  <w:sz w:val="24"/>
                  <w:szCs w:val="24"/>
                </w:rPr>
                <w:fldChar w:fldCharType="separate"/>
              </w:r>
              <w:r>
                <w:rPr>
                  <w:rFonts w:hint="eastAsia" w:ascii="仿宋" w:hAnsi="仿宋" w:eastAsia="仿宋" w:cs="仿宋"/>
                  <w:sz w:val="24"/>
                  <w:szCs w:val="24"/>
                </w:rPr>
                <w:t>26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06"/>
                </w:tabs>
                <w:rPr>
                  <w:rFonts w:hint="eastAsia" w:ascii="楷体" w:hAnsi="楷体" w:eastAsia="楷体" w:cs="楷体"/>
                  <w:b/>
                  <w:bCs/>
                  <w:sz w:val="24"/>
                  <w:szCs w:val="24"/>
                </w:rPr>
              </w:pPr>
              <w:r>
                <w:rPr>
                  <w:rFonts w:hint="eastAsia" w:ascii="楷体" w:hAnsi="楷体" w:eastAsia="楷体" w:cs="楷体"/>
                  <w:b/>
                  <w:bCs/>
                  <w:sz w:val="24"/>
                  <w:szCs w:val="24"/>
                </w:rPr>
                <w:fldChar w:fldCharType="begin"/>
              </w:r>
              <w:r>
                <w:rPr>
                  <w:rFonts w:hint="eastAsia" w:ascii="楷体" w:hAnsi="楷体" w:eastAsia="楷体" w:cs="楷体"/>
                  <w:b/>
                  <w:bCs/>
                  <w:sz w:val="24"/>
                  <w:szCs w:val="24"/>
                </w:rPr>
                <w:instrText xml:space="preserve"> HYPERLINK \l _Toc22453 </w:instrText>
              </w:r>
              <w:r>
                <w:rPr>
                  <w:rFonts w:hint="eastAsia" w:ascii="楷体" w:hAnsi="楷体" w:eastAsia="楷体" w:cs="楷体"/>
                  <w:b/>
                  <w:bCs/>
                  <w:sz w:val="24"/>
                  <w:szCs w:val="24"/>
                </w:rPr>
                <w:fldChar w:fldCharType="separate"/>
              </w:r>
              <w:r>
                <w:rPr>
                  <w:rFonts w:hint="eastAsia" w:ascii="楷体" w:hAnsi="楷体" w:eastAsia="楷体" w:cs="楷体"/>
                  <w:b/>
                  <w:bCs/>
                  <w:sz w:val="24"/>
                  <w:szCs w:val="24"/>
                </w:rPr>
                <w:t>三、教学改革</w:t>
              </w:r>
              <w:r>
                <w:rPr>
                  <w:rFonts w:hint="eastAsia" w:ascii="楷体" w:hAnsi="楷体" w:eastAsia="楷体" w:cs="楷体"/>
                  <w:b/>
                  <w:bCs/>
                  <w:sz w:val="24"/>
                  <w:szCs w:val="24"/>
                </w:rPr>
                <w:tab/>
              </w:r>
              <w:r>
                <w:rPr>
                  <w:rFonts w:hint="eastAsia" w:ascii="楷体" w:hAnsi="楷体" w:eastAsia="楷体" w:cs="楷体"/>
                  <w:b/>
                  <w:bCs/>
                  <w:sz w:val="24"/>
                  <w:szCs w:val="24"/>
                </w:rPr>
                <w:fldChar w:fldCharType="begin"/>
              </w:r>
              <w:r>
                <w:rPr>
                  <w:rFonts w:hint="eastAsia" w:ascii="楷体" w:hAnsi="楷体" w:eastAsia="楷体" w:cs="楷体"/>
                  <w:b/>
                  <w:bCs/>
                  <w:sz w:val="24"/>
                  <w:szCs w:val="24"/>
                </w:rPr>
                <w:instrText xml:space="preserve"> PAGEREF _Toc22453 </w:instrText>
              </w:r>
              <w:r>
                <w:rPr>
                  <w:rFonts w:hint="eastAsia" w:ascii="楷体" w:hAnsi="楷体" w:eastAsia="楷体" w:cs="楷体"/>
                  <w:b/>
                  <w:bCs/>
                  <w:sz w:val="24"/>
                  <w:szCs w:val="24"/>
                </w:rPr>
                <w:fldChar w:fldCharType="separate"/>
              </w:r>
              <w:r>
                <w:rPr>
                  <w:rFonts w:hint="eastAsia" w:ascii="楷体" w:hAnsi="楷体" w:eastAsia="楷体" w:cs="楷体"/>
                  <w:b/>
                  <w:bCs/>
                  <w:sz w:val="24"/>
                  <w:szCs w:val="24"/>
                </w:rPr>
                <w:t>26</w:t>
              </w:r>
              <w:r>
                <w:rPr>
                  <w:rFonts w:hint="eastAsia" w:ascii="楷体" w:hAnsi="楷体" w:eastAsia="楷体" w:cs="楷体"/>
                  <w:b/>
                  <w:bCs/>
                  <w:sz w:val="24"/>
                  <w:szCs w:val="24"/>
                </w:rPr>
                <w:fldChar w:fldCharType="end"/>
              </w:r>
              <w:r>
                <w:rPr>
                  <w:rFonts w:hint="eastAsia" w:ascii="楷体" w:hAnsi="楷体" w:eastAsia="楷体" w:cs="楷体"/>
                  <w:b/>
                  <w:bCs/>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 </w:instrText>
              </w:r>
              <w:r>
                <w:rPr>
                  <w:rFonts w:hint="eastAsia" w:ascii="仿宋" w:hAnsi="仿宋" w:eastAsia="仿宋" w:cs="仿宋"/>
                  <w:sz w:val="24"/>
                  <w:szCs w:val="24"/>
                </w:rPr>
                <w:fldChar w:fldCharType="separate"/>
              </w:r>
              <w:r>
                <w:rPr>
                  <w:rFonts w:hint="eastAsia" w:ascii="仿宋" w:hAnsi="仿宋" w:eastAsia="仿宋" w:cs="仿宋"/>
                  <w:sz w:val="24"/>
                  <w:szCs w:val="24"/>
                </w:rPr>
                <w:t>（一）加强内涵建设，提升优势专业的引领作用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 </w:instrText>
              </w:r>
              <w:r>
                <w:rPr>
                  <w:rFonts w:hint="eastAsia" w:ascii="仿宋" w:hAnsi="仿宋" w:eastAsia="仿宋" w:cs="仿宋"/>
                  <w:sz w:val="24"/>
                  <w:szCs w:val="24"/>
                </w:rPr>
                <w:fldChar w:fldCharType="separate"/>
              </w:r>
              <w:r>
                <w:rPr>
                  <w:rFonts w:hint="eastAsia" w:ascii="仿宋" w:hAnsi="仿宋" w:eastAsia="仿宋" w:cs="仿宋"/>
                  <w:sz w:val="24"/>
                  <w:szCs w:val="24"/>
                </w:rPr>
                <w:t>26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_Toc16417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（二）不断深化教育教学改革</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_Toc16417 </w:instrText>
              </w:r>
              <w:r>
                <w:rPr>
                  <w:rFonts w:hint="eastAsia" w:ascii="仿宋" w:hAnsi="仿宋" w:eastAsia="仿宋" w:cs="仿宋"/>
                  <w:sz w:val="24"/>
                  <w:szCs w:val="24"/>
                </w:rPr>
                <w:fldChar w:fldCharType="separate"/>
              </w:r>
              <w:r>
                <w:rPr>
                  <w:rFonts w:hint="eastAsia" w:ascii="仿宋" w:hAnsi="仿宋" w:eastAsia="仿宋" w:cs="仿宋"/>
                  <w:sz w:val="24"/>
                  <w:szCs w:val="24"/>
                </w:rPr>
                <w:t>27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_Toc25825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1.构建“德技双修，双课融通，五育并举”的人才培养体系</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_Toc25825 </w:instrText>
              </w:r>
              <w:r>
                <w:rPr>
                  <w:rFonts w:hint="eastAsia" w:ascii="仿宋" w:hAnsi="仿宋" w:eastAsia="仿宋" w:cs="仿宋"/>
                  <w:sz w:val="24"/>
                  <w:szCs w:val="24"/>
                </w:rPr>
                <w:fldChar w:fldCharType="separate"/>
              </w:r>
              <w:r>
                <w:rPr>
                  <w:rFonts w:hint="eastAsia" w:ascii="仿宋" w:hAnsi="仿宋" w:eastAsia="仿宋" w:cs="仿宋"/>
                  <w:sz w:val="24"/>
                  <w:szCs w:val="24"/>
                </w:rPr>
                <w:t>27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_Toc22202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2.三管齐下，积极推进“三教改革”</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_Toc22202 </w:instrText>
              </w:r>
              <w:r>
                <w:rPr>
                  <w:rFonts w:hint="eastAsia" w:ascii="仿宋" w:hAnsi="仿宋" w:eastAsia="仿宋" w:cs="仿宋"/>
                  <w:sz w:val="24"/>
                  <w:szCs w:val="24"/>
                </w:rPr>
                <w:fldChar w:fldCharType="separate"/>
              </w:r>
              <w:r>
                <w:rPr>
                  <w:rFonts w:hint="eastAsia" w:ascii="仿宋" w:hAnsi="仿宋" w:eastAsia="仿宋" w:cs="仿宋"/>
                  <w:sz w:val="24"/>
                  <w:szCs w:val="24"/>
                </w:rPr>
                <w:t>28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_Toc29333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3.紧扣“双高”建设任务，有效推行1+X证书制度试点工作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_Toc29333 </w:instrText>
              </w:r>
              <w:r>
                <w:rPr>
                  <w:rFonts w:hint="eastAsia" w:ascii="仿宋" w:hAnsi="仿宋" w:eastAsia="仿宋" w:cs="仿宋"/>
                  <w:sz w:val="24"/>
                  <w:szCs w:val="24"/>
                </w:rPr>
                <w:fldChar w:fldCharType="separate"/>
              </w:r>
              <w:r>
                <w:rPr>
                  <w:rFonts w:hint="eastAsia" w:ascii="仿宋" w:hAnsi="仿宋" w:eastAsia="仿宋" w:cs="仿宋"/>
                  <w:sz w:val="24"/>
                  <w:szCs w:val="24"/>
                </w:rPr>
                <w:t>30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_Toc21952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4.搭建职业教育人才培养的立交桥，打通职业教育的上升通道</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_Toc21952 </w:instrText>
              </w:r>
              <w:r>
                <w:rPr>
                  <w:rFonts w:hint="eastAsia" w:ascii="仿宋" w:hAnsi="仿宋" w:eastAsia="仿宋" w:cs="仿宋"/>
                  <w:sz w:val="24"/>
                  <w:szCs w:val="24"/>
                </w:rPr>
                <w:fldChar w:fldCharType="separate"/>
              </w:r>
              <w:r>
                <w:rPr>
                  <w:rFonts w:hint="eastAsia" w:ascii="仿宋" w:hAnsi="仿宋" w:eastAsia="仿宋" w:cs="仿宋"/>
                  <w:sz w:val="24"/>
                  <w:szCs w:val="24"/>
                </w:rPr>
                <w:t>31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_Toc10037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5.校企合作建立“现代学徒制”“产业学院”，产教融合探索“双主体育人”</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_Toc10037 </w:instrText>
              </w:r>
              <w:r>
                <w:rPr>
                  <w:rFonts w:hint="eastAsia" w:ascii="仿宋" w:hAnsi="仿宋" w:eastAsia="仿宋" w:cs="仿宋"/>
                  <w:sz w:val="24"/>
                  <w:szCs w:val="24"/>
                </w:rPr>
                <w:fldChar w:fldCharType="separate"/>
              </w:r>
              <w:r>
                <w:rPr>
                  <w:rFonts w:hint="eastAsia" w:ascii="仿宋" w:hAnsi="仿宋" w:eastAsia="仿宋" w:cs="仿宋"/>
                  <w:sz w:val="24"/>
                  <w:szCs w:val="24"/>
                </w:rPr>
                <w:t>32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_Toc9318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（四）实训基地建设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_Toc9318 </w:instrText>
              </w:r>
              <w:r>
                <w:rPr>
                  <w:rFonts w:hint="eastAsia" w:ascii="仿宋" w:hAnsi="仿宋" w:eastAsia="仿宋" w:cs="仿宋"/>
                  <w:sz w:val="24"/>
                  <w:szCs w:val="24"/>
                </w:rPr>
                <w:fldChar w:fldCharType="separate"/>
              </w:r>
              <w:r>
                <w:rPr>
                  <w:rFonts w:hint="eastAsia" w:ascii="仿宋" w:hAnsi="仿宋" w:eastAsia="仿宋" w:cs="仿宋"/>
                  <w:sz w:val="24"/>
                  <w:szCs w:val="24"/>
                </w:rPr>
                <w:t>34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_Toc28887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（五）凝心聚力，扎实推进科研工作取得新突破</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_Toc28887 </w:instrText>
              </w:r>
              <w:r>
                <w:rPr>
                  <w:rFonts w:hint="eastAsia" w:ascii="仿宋" w:hAnsi="仿宋" w:eastAsia="仿宋" w:cs="仿宋"/>
                  <w:sz w:val="24"/>
                  <w:szCs w:val="24"/>
                </w:rPr>
                <w:fldChar w:fldCharType="separate"/>
              </w:r>
              <w:r>
                <w:rPr>
                  <w:rFonts w:hint="eastAsia" w:ascii="仿宋" w:hAnsi="仿宋" w:eastAsia="仿宋" w:cs="仿宋"/>
                  <w:sz w:val="24"/>
                  <w:szCs w:val="24"/>
                </w:rPr>
                <w:t>34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06"/>
                </w:tabs>
                <w:rPr>
                  <w:rFonts w:hint="eastAsia" w:ascii="楷体" w:hAnsi="楷体" w:eastAsia="楷体" w:cs="楷体"/>
                  <w:b/>
                  <w:bCs/>
                  <w:sz w:val="24"/>
                  <w:szCs w:val="24"/>
                </w:rPr>
              </w:pPr>
              <w:r>
                <w:rPr>
                  <w:rFonts w:hint="eastAsia" w:ascii="楷体" w:hAnsi="楷体" w:eastAsia="楷体" w:cs="楷体"/>
                  <w:b/>
                  <w:bCs/>
                  <w:sz w:val="24"/>
                  <w:szCs w:val="24"/>
                </w:rPr>
                <w:fldChar w:fldCharType="begin"/>
              </w:r>
              <w:r>
                <w:rPr>
                  <w:rFonts w:hint="eastAsia" w:ascii="楷体" w:hAnsi="楷体" w:eastAsia="楷体" w:cs="楷体"/>
                  <w:b/>
                  <w:bCs/>
                  <w:sz w:val="24"/>
                  <w:szCs w:val="24"/>
                </w:rPr>
                <w:instrText xml:space="preserve"> HYPERLINK \l _Toc13671 </w:instrText>
              </w:r>
              <w:r>
                <w:rPr>
                  <w:rFonts w:hint="eastAsia" w:ascii="楷体" w:hAnsi="楷体" w:eastAsia="楷体" w:cs="楷体"/>
                  <w:b/>
                  <w:bCs/>
                  <w:sz w:val="24"/>
                  <w:szCs w:val="24"/>
                </w:rPr>
                <w:fldChar w:fldCharType="separate"/>
              </w:r>
              <w:r>
                <w:rPr>
                  <w:rFonts w:hint="eastAsia" w:ascii="楷体" w:hAnsi="楷体" w:eastAsia="楷体" w:cs="楷体"/>
                  <w:b/>
                  <w:bCs/>
                  <w:sz w:val="24"/>
                  <w:szCs w:val="24"/>
                  <w:lang w:eastAsia="zh-CN"/>
                </w:rPr>
                <w:t>四、</w:t>
              </w:r>
              <w:r>
                <w:rPr>
                  <w:rFonts w:hint="eastAsia" w:ascii="楷体" w:hAnsi="楷体" w:eastAsia="楷体" w:cs="楷体"/>
                  <w:b/>
                  <w:bCs/>
                  <w:sz w:val="24"/>
                  <w:szCs w:val="24"/>
                </w:rPr>
                <w:t>政策保障</w:t>
              </w:r>
              <w:r>
                <w:rPr>
                  <w:rFonts w:hint="eastAsia" w:ascii="楷体" w:hAnsi="楷体" w:eastAsia="楷体" w:cs="楷体"/>
                  <w:b/>
                  <w:bCs/>
                  <w:sz w:val="24"/>
                  <w:szCs w:val="24"/>
                </w:rPr>
                <w:tab/>
              </w:r>
              <w:r>
                <w:rPr>
                  <w:rFonts w:hint="eastAsia" w:ascii="楷体" w:hAnsi="楷体" w:eastAsia="楷体" w:cs="楷体"/>
                  <w:b/>
                  <w:bCs/>
                  <w:sz w:val="24"/>
                  <w:szCs w:val="24"/>
                </w:rPr>
                <w:fldChar w:fldCharType="begin"/>
              </w:r>
              <w:r>
                <w:rPr>
                  <w:rFonts w:hint="eastAsia" w:ascii="楷体" w:hAnsi="楷体" w:eastAsia="楷体" w:cs="楷体"/>
                  <w:b/>
                  <w:bCs/>
                  <w:sz w:val="24"/>
                  <w:szCs w:val="24"/>
                </w:rPr>
                <w:instrText xml:space="preserve"> PAGEREF _Toc13671 </w:instrText>
              </w:r>
              <w:r>
                <w:rPr>
                  <w:rFonts w:hint="eastAsia" w:ascii="楷体" w:hAnsi="楷体" w:eastAsia="楷体" w:cs="楷体"/>
                  <w:b/>
                  <w:bCs/>
                  <w:sz w:val="24"/>
                  <w:szCs w:val="24"/>
                </w:rPr>
                <w:fldChar w:fldCharType="separate"/>
              </w:r>
              <w:r>
                <w:rPr>
                  <w:rFonts w:hint="eastAsia" w:ascii="楷体" w:hAnsi="楷体" w:eastAsia="楷体" w:cs="楷体"/>
                  <w:b/>
                  <w:bCs/>
                  <w:sz w:val="24"/>
                  <w:szCs w:val="24"/>
                </w:rPr>
                <w:t>35</w:t>
              </w:r>
              <w:r>
                <w:rPr>
                  <w:rFonts w:hint="eastAsia" w:ascii="楷体" w:hAnsi="楷体" w:eastAsia="楷体" w:cs="楷体"/>
                  <w:b/>
                  <w:bCs/>
                  <w:sz w:val="24"/>
                  <w:szCs w:val="24"/>
                </w:rPr>
                <w:fldChar w:fldCharType="end"/>
              </w:r>
              <w:r>
                <w:rPr>
                  <w:rFonts w:hint="eastAsia" w:ascii="楷体" w:hAnsi="楷体" w:eastAsia="楷体" w:cs="楷体"/>
                  <w:b/>
                  <w:bCs/>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_Toc18497 </w:instrText>
              </w:r>
              <w:r>
                <w:rPr>
                  <w:rFonts w:hint="eastAsia" w:ascii="仿宋" w:hAnsi="仿宋" w:eastAsia="仿宋" w:cs="仿宋"/>
                  <w:sz w:val="24"/>
                  <w:szCs w:val="24"/>
                </w:rPr>
                <w:fldChar w:fldCharType="separate"/>
              </w:r>
              <w:r>
                <w:rPr>
                  <w:rFonts w:hint="eastAsia" w:ascii="仿宋" w:hAnsi="仿宋" w:eastAsia="仿宋" w:cs="仿宋"/>
                  <w:bCs/>
                  <w:sz w:val="24"/>
                  <w:szCs w:val="24"/>
                  <w:lang w:eastAsia="zh-CN"/>
                </w:rPr>
                <w:t>（一）党建引领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_Toc18497 </w:instrText>
              </w:r>
              <w:r>
                <w:rPr>
                  <w:rFonts w:hint="eastAsia" w:ascii="仿宋" w:hAnsi="仿宋" w:eastAsia="仿宋" w:cs="仿宋"/>
                  <w:sz w:val="24"/>
                  <w:szCs w:val="24"/>
                </w:rPr>
                <w:fldChar w:fldCharType="separate"/>
              </w:r>
              <w:r>
                <w:rPr>
                  <w:rFonts w:hint="eastAsia" w:ascii="仿宋" w:hAnsi="仿宋" w:eastAsia="仿宋" w:cs="仿宋"/>
                  <w:sz w:val="24"/>
                  <w:szCs w:val="24"/>
                </w:rPr>
                <w:t>35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_Toc4994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1.实施“党的领导力全面提升行动计划”，落实党委领导下的校长负责制，推进议事决策制度全覆盖无“盲区”</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_Toc4994 </w:instrText>
              </w:r>
              <w:r>
                <w:rPr>
                  <w:rFonts w:hint="eastAsia" w:ascii="仿宋" w:hAnsi="仿宋" w:eastAsia="仿宋" w:cs="仿宋"/>
                  <w:sz w:val="24"/>
                  <w:szCs w:val="24"/>
                </w:rPr>
                <w:fldChar w:fldCharType="separate"/>
              </w:r>
              <w:r>
                <w:rPr>
                  <w:rFonts w:hint="eastAsia" w:ascii="仿宋" w:hAnsi="仿宋" w:eastAsia="仿宋" w:cs="仿宋"/>
                  <w:sz w:val="24"/>
                  <w:szCs w:val="24"/>
                </w:rPr>
                <w:t>36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_Toc30207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2.实施“意识形态工作强化行动计划”，加强意识形态阵地管理，推进校园融媒体建设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_Toc30207 </w:instrText>
              </w:r>
              <w:r>
                <w:rPr>
                  <w:rFonts w:hint="eastAsia" w:ascii="仿宋" w:hAnsi="仿宋" w:eastAsia="仿宋" w:cs="仿宋"/>
                  <w:sz w:val="24"/>
                  <w:szCs w:val="24"/>
                </w:rPr>
                <w:fldChar w:fldCharType="separate"/>
              </w:r>
              <w:r>
                <w:rPr>
                  <w:rFonts w:hint="eastAsia" w:ascii="仿宋" w:hAnsi="仿宋" w:eastAsia="仿宋" w:cs="仿宋"/>
                  <w:sz w:val="24"/>
                  <w:szCs w:val="24"/>
                </w:rPr>
                <w:t>36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_Toc21177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3.实施“‘三进’行动计划”，建设高水平马克思主义学院，大力培育“鲁班精神”</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_Toc21177 </w:instrText>
              </w:r>
              <w:r>
                <w:rPr>
                  <w:rFonts w:hint="eastAsia" w:ascii="仿宋" w:hAnsi="仿宋" w:eastAsia="仿宋" w:cs="仿宋"/>
                  <w:sz w:val="24"/>
                  <w:szCs w:val="24"/>
                </w:rPr>
                <w:fldChar w:fldCharType="separate"/>
              </w:r>
              <w:r>
                <w:rPr>
                  <w:rFonts w:hint="eastAsia" w:ascii="仿宋" w:hAnsi="仿宋" w:eastAsia="仿宋" w:cs="仿宋"/>
                  <w:sz w:val="24"/>
                  <w:szCs w:val="24"/>
                </w:rPr>
                <w:t>37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_Toc32040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4.实施“‘三全育人’推进行动计划”，健全“三级联动机制”，建设“三全育人”试点院系</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_Toc32040 </w:instrText>
              </w:r>
              <w:r>
                <w:rPr>
                  <w:rFonts w:hint="eastAsia" w:ascii="仿宋" w:hAnsi="仿宋" w:eastAsia="仿宋" w:cs="仿宋"/>
                  <w:sz w:val="24"/>
                  <w:szCs w:val="24"/>
                </w:rPr>
                <w:fldChar w:fldCharType="separate"/>
              </w:r>
              <w:r>
                <w:rPr>
                  <w:rFonts w:hint="eastAsia" w:ascii="仿宋" w:hAnsi="仿宋" w:eastAsia="仿宋" w:cs="仿宋"/>
                  <w:sz w:val="24"/>
                  <w:szCs w:val="24"/>
                </w:rPr>
                <w:t>38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_Toc5240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5.实施“基层党建创新行动计划”，创建全国高校党建工作标杆院系和党建工作样板支部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_Toc5240 </w:instrText>
              </w:r>
              <w:r>
                <w:rPr>
                  <w:rFonts w:hint="eastAsia" w:ascii="仿宋" w:hAnsi="仿宋" w:eastAsia="仿宋" w:cs="仿宋"/>
                  <w:sz w:val="24"/>
                  <w:szCs w:val="24"/>
                </w:rPr>
                <w:fldChar w:fldCharType="separate"/>
              </w:r>
              <w:r>
                <w:rPr>
                  <w:rFonts w:hint="eastAsia" w:ascii="仿宋" w:hAnsi="仿宋" w:eastAsia="仿宋" w:cs="仿宋"/>
                  <w:sz w:val="24"/>
                  <w:szCs w:val="24"/>
                </w:rPr>
                <w:t>39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_Toc16735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（二）</w:t>
              </w:r>
              <w:r>
                <w:rPr>
                  <w:rFonts w:hint="eastAsia" w:ascii="仿宋" w:hAnsi="仿宋" w:eastAsia="仿宋" w:cs="仿宋"/>
                  <w:sz w:val="24"/>
                  <w:szCs w:val="24"/>
                  <w:lang w:val="en-US" w:eastAsia="zh-CN"/>
                </w:rPr>
                <w:t>师资队伍建设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_Toc16735 </w:instrText>
              </w:r>
              <w:r>
                <w:rPr>
                  <w:rFonts w:hint="eastAsia" w:ascii="仿宋" w:hAnsi="仿宋" w:eastAsia="仿宋" w:cs="仿宋"/>
                  <w:sz w:val="24"/>
                  <w:szCs w:val="24"/>
                </w:rPr>
                <w:fldChar w:fldCharType="separate"/>
              </w:r>
              <w:r>
                <w:rPr>
                  <w:rFonts w:hint="eastAsia" w:ascii="仿宋" w:hAnsi="仿宋" w:eastAsia="仿宋" w:cs="仿宋"/>
                  <w:sz w:val="24"/>
                  <w:szCs w:val="24"/>
                </w:rPr>
                <w:t>40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_Toc32280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1.完善制度，推进教师队伍建设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_Toc32280 </w:instrText>
              </w:r>
              <w:r>
                <w:rPr>
                  <w:rFonts w:hint="eastAsia" w:ascii="仿宋" w:hAnsi="仿宋" w:eastAsia="仿宋" w:cs="仿宋"/>
                  <w:sz w:val="24"/>
                  <w:szCs w:val="24"/>
                </w:rPr>
                <w:fldChar w:fldCharType="separate"/>
              </w:r>
              <w:r>
                <w:rPr>
                  <w:rFonts w:hint="eastAsia" w:ascii="仿宋" w:hAnsi="仿宋" w:eastAsia="仿宋" w:cs="仿宋"/>
                  <w:sz w:val="24"/>
                  <w:szCs w:val="24"/>
                </w:rPr>
                <w:t>40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_Toc27091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2.</w:t>
              </w:r>
              <w:r>
                <w:rPr>
                  <w:rFonts w:hint="eastAsia" w:ascii="仿宋" w:hAnsi="仿宋" w:eastAsia="仿宋" w:cs="仿宋"/>
                  <w:sz w:val="24"/>
                  <w:szCs w:val="24"/>
                </w:rPr>
                <w:t>积极开展招聘工作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_Toc27091 </w:instrText>
              </w:r>
              <w:r>
                <w:rPr>
                  <w:rFonts w:hint="eastAsia" w:ascii="仿宋" w:hAnsi="仿宋" w:eastAsia="仿宋" w:cs="仿宋"/>
                  <w:sz w:val="24"/>
                  <w:szCs w:val="24"/>
                </w:rPr>
                <w:fldChar w:fldCharType="separate"/>
              </w:r>
              <w:r>
                <w:rPr>
                  <w:rFonts w:hint="eastAsia" w:ascii="仿宋" w:hAnsi="仿宋" w:eastAsia="仿宋" w:cs="仿宋"/>
                  <w:sz w:val="24"/>
                  <w:szCs w:val="24"/>
                </w:rPr>
                <w:t>41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_Toc15450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3.大力推进“双师型”教师队伍建设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_Toc15450 </w:instrText>
              </w:r>
              <w:r>
                <w:rPr>
                  <w:rFonts w:hint="eastAsia" w:ascii="仿宋" w:hAnsi="仿宋" w:eastAsia="仿宋" w:cs="仿宋"/>
                  <w:sz w:val="24"/>
                  <w:szCs w:val="24"/>
                </w:rPr>
                <w:fldChar w:fldCharType="separate"/>
              </w:r>
              <w:r>
                <w:rPr>
                  <w:rFonts w:hint="eastAsia" w:ascii="仿宋" w:hAnsi="仿宋" w:eastAsia="仿宋" w:cs="仿宋"/>
                  <w:sz w:val="24"/>
                  <w:szCs w:val="24"/>
                </w:rPr>
                <w:t>42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_Toc20814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4.继续加强教师业务培训</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_Toc20814 </w:instrText>
              </w:r>
              <w:r>
                <w:rPr>
                  <w:rFonts w:hint="eastAsia" w:ascii="仿宋" w:hAnsi="仿宋" w:eastAsia="仿宋" w:cs="仿宋"/>
                  <w:sz w:val="24"/>
                  <w:szCs w:val="24"/>
                </w:rPr>
                <w:fldChar w:fldCharType="separate"/>
              </w:r>
              <w:r>
                <w:rPr>
                  <w:rFonts w:hint="eastAsia" w:ascii="仿宋" w:hAnsi="仿宋" w:eastAsia="仿宋" w:cs="仿宋"/>
                  <w:sz w:val="24"/>
                  <w:szCs w:val="24"/>
                </w:rPr>
                <w:t>42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_Toc17353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（三）加强治理体系和治理能力建设，全面提升学校治理水平</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_Toc17353 </w:instrText>
              </w:r>
              <w:r>
                <w:rPr>
                  <w:rFonts w:hint="eastAsia" w:ascii="仿宋" w:hAnsi="仿宋" w:eastAsia="仿宋" w:cs="仿宋"/>
                  <w:sz w:val="24"/>
                  <w:szCs w:val="24"/>
                </w:rPr>
                <w:fldChar w:fldCharType="separate"/>
              </w:r>
              <w:r>
                <w:rPr>
                  <w:rFonts w:hint="eastAsia" w:ascii="仿宋" w:hAnsi="仿宋" w:eastAsia="仿宋" w:cs="仿宋"/>
                  <w:sz w:val="24"/>
                  <w:szCs w:val="24"/>
                </w:rPr>
                <w:t>42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_Toc5001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（四）</w:t>
              </w:r>
              <w:r>
                <w:rPr>
                  <w:rFonts w:hint="eastAsia" w:ascii="仿宋" w:hAnsi="仿宋" w:eastAsia="仿宋" w:cs="仿宋"/>
                  <w:sz w:val="24"/>
                  <w:szCs w:val="24"/>
                  <w:lang w:val="en-US" w:eastAsia="zh-CN"/>
                </w:rPr>
                <w:t>校园文化</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_Toc5001 </w:instrText>
              </w:r>
              <w:r>
                <w:rPr>
                  <w:rFonts w:hint="eastAsia" w:ascii="仿宋" w:hAnsi="仿宋" w:eastAsia="仿宋" w:cs="仿宋"/>
                  <w:sz w:val="24"/>
                  <w:szCs w:val="24"/>
                </w:rPr>
                <w:fldChar w:fldCharType="separate"/>
              </w:r>
              <w:r>
                <w:rPr>
                  <w:rFonts w:hint="eastAsia" w:ascii="仿宋" w:hAnsi="仿宋" w:eastAsia="仿宋" w:cs="仿宋"/>
                  <w:sz w:val="24"/>
                  <w:szCs w:val="24"/>
                </w:rPr>
                <w:t>44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_Toc15654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建立我校</w:t>
              </w:r>
              <w:r>
                <w:rPr>
                  <w:rFonts w:hint="eastAsia" w:ascii="仿宋" w:hAnsi="仿宋" w:eastAsia="仿宋" w:cs="仿宋"/>
                  <w:sz w:val="24"/>
                  <w:szCs w:val="24"/>
                </w:rPr>
                <w:t>落实意识形态工作责任制实施细则，加强意识形态阵地管理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_Toc15654 </w:instrText>
              </w:r>
              <w:r>
                <w:rPr>
                  <w:rFonts w:hint="eastAsia" w:ascii="仿宋" w:hAnsi="仿宋" w:eastAsia="仿宋" w:cs="仿宋"/>
                  <w:sz w:val="24"/>
                  <w:szCs w:val="24"/>
                </w:rPr>
                <w:fldChar w:fldCharType="separate"/>
              </w:r>
              <w:r>
                <w:rPr>
                  <w:rFonts w:hint="eastAsia" w:ascii="仿宋" w:hAnsi="仿宋" w:eastAsia="仿宋" w:cs="仿宋"/>
                  <w:sz w:val="24"/>
                  <w:szCs w:val="24"/>
                </w:rPr>
                <w:t>44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_Toc2661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2</w:t>
              </w:r>
              <w:r>
                <w:rPr>
                  <w:rFonts w:hint="eastAsia" w:ascii="仿宋" w:hAnsi="仿宋" w:eastAsia="仿宋" w:cs="仿宋"/>
                  <w:sz w:val="24"/>
                  <w:szCs w:val="24"/>
                </w:rPr>
                <w:t>.全面推进“三全育人”综合改革工作实施方案，</w:t>
              </w:r>
              <w:r>
                <w:rPr>
                  <w:rFonts w:hint="eastAsia" w:ascii="仿宋" w:hAnsi="仿宋" w:eastAsia="仿宋" w:cs="仿宋"/>
                  <w:sz w:val="24"/>
                  <w:szCs w:val="24"/>
                  <w:lang w:eastAsia="zh-CN"/>
                </w:rPr>
                <w:t>加强</w:t>
              </w:r>
              <w:r>
                <w:rPr>
                  <w:rFonts w:hint="eastAsia" w:ascii="仿宋" w:hAnsi="仿宋" w:eastAsia="仿宋" w:cs="仿宋"/>
                  <w:sz w:val="24"/>
                  <w:szCs w:val="24"/>
                </w:rPr>
                <w:t>“三全育人”试点</w:t>
              </w:r>
              <w:r>
                <w:rPr>
                  <w:rFonts w:hint="eastAsia" w:ascii="仿宋" w:hAnsi="仿宋" w:eastAsia="仿宋" w:cs="仿宋"/>
                  <w:sz w:val="24"/>
                  <w:szCs w:val="24"/>
                  <w:lang w:eastAsia="zh-CN"/>
                </w:rPr>
                <w:t>项目建设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_Toc2661 </w:instrText>
              </w:r>
              <w:r>
                <w:rPr>
                  <w:rFonts w:hint="eastAsia" w:ascii="仿宋" w:hAnsi="仿宋" w:eastAsia="仿宋" w:cs="仿宋"/>
                  <w:sz w:val="24"/>
                  <w:szCs w:val="24"/>
                </w:rPr>
                <w:fldChar w:fldCharType="separate"/>
              </w:r>
              <w:r>
                <w:rPr>
                  <w:rFonts w:hint="eastAsia" w:ascii="仿宋" w:hAnsi="仿宋" w:eastAsia="仿宋" w:cs="仿宋"/>
                  <w:sz w:val="24"/>
                  <w:szCs w:val="24"/>
                </w:rPr>
                <w:t>44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_Toc18002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3</w:t>
              </w:r>
              <w:r>
                <w:rPr>
                  <w:rFonts w:hint="eastAsia" w:ascii="仿宋" w:hAnsi="仿宋" w:eastAsia="仿宋" w:cs="仿宋"/>
                  <w:sz w:val="24"/>
                  <w:szCs w:val="24"/>
                </w:rPr>
                <w:t>.开展校园文化品牌创建活动</w:t>
              </w:r>
              <w:r>
                <w:rPr>
                  <w:rFonts w:hint="eastAsia" w:ascii="仿宋" w:hAnsi="仿宋" w:eastAsia="仿宋" w:cs="仿宋"/>
                  <w:sz w:val="24"/>
                  <w:szCs w:val="24"/>
                  <w:lang w:eastAsia="zh-CN"/>
                </w:rPr>
                <w:t>，加强二级院系</w:t>
              </w:r>
              <w:r>
                <w:rPr>
                  <w:rFonts w:hint="eastAsia" w:ascii="仿宋" w:hAnsi="仿宋" w:eastAsia="仿宋" w:cs="仿宋"/>
                  <w:sz w:val="24"/>
                  <w:szCs w:val="24"/>
                </w:rPr>
                <w:t>校园文化“一系一品”</w:t>
              </w:r>
              <w:r>
                <w:rPr>
                  <w:rFonts w:hint="eastAsia" w:ascii="仿宋" w:hAnsi="仿宋" w:eastAsia="仿宋" w:cs="仿宋"/>
                  <w:sz w:val="24"/>
                  <w:szCs w:val="24"/>
                  <w:lang w:eastAsia="zh-CN"/>
                </w:rPr>
                <w:t>建设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_Toc18002 </w:instrText>
              </w:r>
              <w:r>
                <w:rPr>
                  <w:rFonts w:hint="eastAsia" w:ascii="仿宋" w:hAnsi="仿宋" w:eastAsia="仿宋" w:cs="仿宋"/>
                  <w:sz w:val="24"/>
                  <w:szCs w:val="24"/>
                </w:rPr>
                <w:fldChar w:fldCharType="separate"/>
              </w:r>
              <w:r>
                <w:rPr>
                  <w:rFonts w:hint="eastAsia" w:ascii="仿宋" w:hAnsi="仿宋" w:eastAsia="仿宋" w:cs="仿宋"/>
                  <w:sz w:val="24"/>
                  <w:szCs w:val="24"/>
                </w:rPr>
                <w:t>45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_Toc25023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（五）质量保障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_Toc25023 </w:instrText>
              </w:r>
              <w:r>
                <w:rPr>
                  <w:rFonts w:hint="eastAsia" w:ascii="仿宋" w:hAnsi="仿宋" w:eastAsia="仿宋" w:cs="仿宋"/>
                  <w:sz w:val="24"/>
                  <w:szCs w:val="24"/>
                </w:rPr>
                <w:fldChar w:fldCharType="separate"/>
              </w:r>
              <w:r>
                <w:rPr>
                  <w:rFonts w:hint="eastAsia" w:ascii="仿宋" w:hAnsi="仿宋" w:eastAsia="仿宋" w:cs="仿宋"/>
                  <w:sz w:val="24"/>
                  <w:szCs w:val="24"/>
                </w:rPr>
                <w:t>46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_Toc13129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1.</w:t>
              </w:r>
              <w:r>
                <w:rPr>
                  <w:rFonts w:hint="eastAsia" w:ascii="仿宋" w:hAnsi="仿宋" w:eastAsia="仿宋" w:cs="仿宋"/>
                  <w:sz w:val="24"/>
                  <w:szCs w:val="24"/>
                </w:rPr>
                <w:t>优化</w:t>
              </w:r>
              <w:r>
                <w:rPr>
                  <w:rFonts w:hint="eastAsia" w:ascii="仿宋" w:hAnsi="仿宋" w:eastAsia="仿宋" w:cs="仿宋"/>
                  <w:sz w:val="24"/>
                  <w:szCs w:val="24"/>
                  <w:lang w:eastAsia="zh-CN"/>
                </w:rPr>
                <w:t>内部质量保证体系</w:t>
              </w:r>
              <w:r>
                <w:rPr>
                  <w:rFonts w:hint="eastAsia" w:ascii="仿宋" w:hAnsi="仿宋" w:eastAsia="仿宋" w:cs="仿宋"/>
                  <w:sz w:val="24"/>
                  <w:szCs w:val="24"/>
                </w:rPr>
                <w:t>，提升</w:t>
              </w:r>
              <w:r>
                <w:rPr>
                  <w:rFonts w:hint="eastAsia" w:ascii="仿宋" w:hAnsi="仿宋" w:eastAsia="仿宋" w:cs="仿宋"/>
                  <w:sz w:val="24"/>
                  <w:szCs w:val="24"/>
                  <w:lang w:eastAsia="zh-CN"/>
                </w:rPr>
                <w:t>治理能力与治理水平</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_Toc13129 </w:instrText>
              </w:r>
              <w:r>
                <w:rPr>
                  <w:rFonts w:hint="eastAsia" w:ascii="仿宋" w:hAnsi="仿宋" w:eastAsia="仿宋" w:cs="仿宋"/>
                  <w:sz w:val="24"/>
                  <w:szCs w:val="24"/>
                </w:rPr>
                <w:fldChar w:fldCharType="separate"/>
              </w:r>
              <w:r>
                <w:rPr>
                  <w:rFonts w:hint="eastAsia" w:ascii="仿宋" w:hAnsi="仿宋" w:eastAsia="仿宋" w:cs="仿宋"/>
                  <w:sz w:val="24"/>
                  <w:szCs w:val="24"/>
                </w:rPr>
                <w:t>46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_Toc24302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2.</w:t>
              </w:r>
              <w:r>
                <w:rPr>
                  <w:rFonts w:hint="eastAsia" w:ascii="仿宋" w:hAnsi="仿宋" w:eastAsia="仿宋" w:cs="仿宋"/>
                  <w:sz w:val="24"/>
                  <w:szCs w:val="24"/>
                </w:rPr>
                <w:t>建设校本数据平台</w:t>
              </w:r>
              <w:r>
                <w:rPr>
                  <w:rFonts w:hint="eastAsia" w:ascii="仿宋" w:hAnsi="仿宋" w:eastAsia="仿宋" w:cs="仿宋"/>
                  <w:sz w:val="24"/>
                  <w:szCs w:val="24"/>
                  <w:lang w:eastAsia="zh-CN"/>
                </w:rPr>
                <w:t>，助力教育教学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_Toc24302 </w:instrText>
              </w:r>
              <w:r>
                <w:rPr>
                  <w:rFonts w:hint="eastAsia" w:ascii="仿宋" w:hAnsi="仿宋" w:eastAsia="仿宋" w:cs="仿宋"/>
                  <w:sz w:val="24"/>
                  <w:szCs w:val="24"/>
                </w:rPr>
                <w:fldChar w:fldCharType="separate"/>
              </w:r>
              <w:r>
                <w:rPr>
                  <w:rFonts w:hint="eastAsia" w:ascii="仿宋" w:hAnsi="仿宋" w:eastAsia="仿宋" w:cs="仿宋"/>
                  <w:sz w:val="24"/>
                  <w:szCs w:val="24"/>
                </w:rPr>
                <w:t>46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_Toc6183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3.</w:t>
              </w:r>
              <w:r>
                <w:rPr>
                  <w:rFonts w:hint="eastAsia" w:ascii="仿宋" w:hAnsi="仿宋" w:eastAsia="仿宋" w:cs="仿宋"/>
                  <w:sz w:val="24"/>
                  <w:szCs w:val="24"/>
                </w:rPr>
                <w:t>建立常态</w:t>
              </w:r>
              <w:r>
                <w:rPr>
                  <w:rFonts w:hint="eastAsia" w:ascii="仿宋" w:hAnsi="仿宋" w:eastAsia="仿宋" w:cs="仿宋"/>
                  <w:sz w:val="24"/>
                  <w:szCs w:val="24"/>
                  <w:lang w:eastAsia="zh-CN"/>
                </w:rPr>
                <w:t>化</w:t>
              </w:r>
              <w:r>
                <w:rPr>
                  <w:rFonts w:hint="eastAsia" w:ascii="仿宋" w:hAnsi="仿宋" w:eastAsia="仿宋" w:cs="仿宋"/>
                  <w:sz w:val="24"/>
                  <w:szCs w:val="24"/>
                </w:rPr>
                <w:t>诊改</w:t>
              </w:r>
              <w:r>
                <w:rPr>
                  <w:rFonts w:hint="eastAsia" w:ascii="仿宋" w:hAnsi="仿宋" w:eastAsia="仿宋" w:cs="仿宋"/>
                  <w:sz w:val="24"/>
                  <w:szCs w:val="24"/>
                  <w:lang w:eastAsia="zh-CN"/>
                </w:rPr>
                <w:t>机制，全面提升人才培养质量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_Toc6183 </w:instrText>
              </w:r>
              <w:r>
                <w:rPr>
                  <w:rFonts w:hint="eastAsia" w:ascii="仿宋" w:hAnsi="仿宋" w:eastAsia="仿宋" w:cs="仿宋"/>
                  <w:sz w:val="24"/>
                  <w:szCs w:val="24"/>
                </w:rPr>
                <w:fldChar w:fldCharType="separate"/>
              </w:r>
              <w:r>
                <w:rPr>
                  <w:rFonts w:hint="eastAsia" w:ascii="仿宋" w:hAnsi="仿宋" w:eastAsia="仿宋" w:cs="仿宋"/>
                  <w:sz w:val="24"/>
                  <w:szCs w:val="24"/>
                </w:rPr>
                <w:t>46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_Toc8497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4.</w:t>
              </w:r>
              <w:r>
                <w:rPr>
                  <w:rFonts w:hint="eastAsia" w:ascii="仿宋" w:hAnsi="仿宋" w:eastAsia="仿宋" w:cs="仿宋"/>
                  <w:sz w:val="24"/>
                  <w:szCs w:val="24"/>
                </w:rPr>
                <w:t>持续推进质量管理监控机制和评价制度改革</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_Toc8497 </w:instrText>
              </w:r>
              <w:r>
                <w:rPr>
                  <w:rFonts w:hint="eastAsia" w:ascii="仿宋" w:hAnsi="仿宋" w:eastAsia="仿宋" w:cs="仿宋"/>
                  <w:sz w:val="24"/>
                  <w:szCs w:val="24"/>
                </w:rPr>
                <w:fldChar w:fldCharType="separate"/>
              </w:r>
              <w:r>
                <w:rPr>
                  <w:rFonts w:hint="eastAsia" w:ascii="仿宋" w:hAnsi="仿宋" w:eastAsia="仿宋" w:cs="仿宋"/>
                  <w:sz w:val="24"/>
                  <w:szCs w:val="24"/>
                </w:rPr>
                <w:t>47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_Toc27745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（六）</w:t>
              </w:r>
              <w:r>
                <w:rPr>
                  <w:rFonts w:hint="eastAsia" w:ascii="仿宋" w:hAnsi="仿宋" w:eastAsia="仿宋" w:cs="仿宋"/>
                  <w:sz w:val="24"/>
                  <w:szCs w:val="24"/>
                  <w:lang w:eastAsia="zh-CN"/>
                </w:rPr>
                <w:t>经费投入与支出</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_Toc27745 </w:instrText>
              </w:r>
              <w:r>
                <w:rPr>
                  <w:rFonts w:hint="eastAsia" w:ascii="仿宋" w:hAnsi="仿宋" w:eastAsia="仿宋" w:cs="仿宋"/>
                  <w:sz w:val="24"/>
                  <w:szCs w:val="24"/>
                </w:rPr>
                <w:fldChar w:fldCharType="separate"/>
              </w:r>
              <w:r>
                <w:rPr>
                  <w:rFonts w:hint="eastAsia" w:ascii="仿宋" w:hAnsi="仿宋" w:eastAsia="仿宋" w:cs="仿宋"/>
                  <w:sz w:val="24"/>
                  <w:szCs w:val="24"/>
                </w:rPr>
                <w:t>47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06"/>
                </w:tabs>
                <w:rPr>
                  <w:rFonts w:hint="eastAsia" w:ascii="楷体" w:hAnsi="楷体" w:eastAsia="楷体" w:cs="楷体"/>
                  <w:b/>
                  <w:bCs/>
                  <w:sz w:val="24"/>
                  <w:szCs w:val="24"/>
                </w:rPr>
              </w:pPr>
              <w:r>
                <w:rPr>
                  <w:rFonts w:hint="eastAsia" w:ascii="楷体" w:hAnsi="楷体" w:eastAsia="楷体" w:cs="楷体"/>
                  <w:b/>
                  <w:bCs/>
                  <w:sz w:val="24"/>
                  <w:szCs w:val="24"/>
                </w:rPr>
                <w:fldChar w:fldCharType="begin"/>
              </w:r>
              <w:r>
                <w:rPr>
                  <w:rFonts w:hint="eastAsia" w:ascii="楷体" w:hAnsi="楷体" w:eastAsia="楷体" w:cs="楷体"/>
                  <w:b/>
                  <w:bCs/>
                  <w:sz w:val="24"/>
                  <w:szCs w:val="24"/>
                </w:rPr>
                <w:instrText xml:space="preserve"> HYPERLINK \l _Toc2713 </w:instrText>
              </w:r>
              <w:r>
                <w:rPr>
                  <w:rFonts w:hint="eastAsia" w:ascii="楷体" w:hAnsi="楷体" w:eastAsia="楷体" w:cs="楷体"/>
                  <w:b/>
                  <w:bCs/>
                  <w:sz w:val="24"/>
                  <w:szCs w:val="24"/>
                </w:rPr>
                <w:fldChar w:fldCharType="separate"/>
              </w:r>
              <w:r>
                <w:rPr>
                  <w:rFonts w:hint="eastAsia" w:ascii="楷体" w:hAnsi="楷体" w:eastAsia="楷体" w:cs="楷体"/>
                  <w:b/>
                  <w:bCs/>
                  <w:sz w:val="24"/>
                  <w:szCs w:val="24"/>
                  <w:lang w:eastAsia="zh-CN"/>
                </w:rPr>
                <w:t>五、国际交流与合作</w:t>
              </w:r>
              <w:r>
                <w:rPr>
                  <w:rFonts w:hint="eastAsia" w:ascii="楷体" w:hAnsi="楷体" w:eastAsia="楷体" w:cs="楷体"/>
                  <w:b/>
                  <w:bCs/>
                  <w:sz w:val="24"/>
                  <w:szCs w:val="24"/>
                </w:rPr>
                <w:tab/>
              </w:r>
              <w:r>
                <w:rPr>
                  <w:rFonts w:hint="eastAsia" w:ascii="楷体" w:hAnsi="楷体" w:eastAsia="楷体" w:cs="楷体"/>
                  <w:b/>
                  <w:bCs/>
                  <w:sz w:val="24"/>
                  <w:szCs w:val="24"/>
                </w:rPr>
                <w:fldChar w:fldCharType="begin"/>
              </w:r>
              <w:r>
                <w:rPr>
                  <w:rFonts w:hint="eastAsia" w:ascii="楷体" w:hAnsi="楷体" w:eastAsia="楷体" w:cs="楷体"/>
                  <w:b/>
                  <w:bCs/>
                  <w:sz w:val="24"/>
                  <w:szCs w:val="24"/>
                </w:rPr>
                <w:instrText xml:space="preserve"> PAGEREF _Toc2713 </w:instrText>
              </w:r>
              <w:r>
                <w:rPr>
                  <w:rFonts w:hint="eastAsia" w:ascii="楷体" w:hAnsi="楷体" w:eastAsia="楷体" w:cs="楷体"/>
                  <w:b/>
                  <w:bCs/>
                  <w:sz w:val="24"/>
                  <w:szCs w:val="24"/>
                </w:rPr>
                <w:fldChar w:fldCharType="separate"/>
              </w:r>
              <w:r>
                <w:rPr>
                  <w:rFonts w:hint="eastAsia" w:ascii="楷体" w:hAnsi="楷体" w:eastAsia="楷体" w:cs="楷体"/>
                  <w:b/>
                  <w:bCs/>
                  <w:sz w:val="24"/>
                  <w:szCs w:val="24"/>
                </w:rPr>
                <w:t>48</w:t>
              </w:r>
              <w:r>
                <w:rPr>
                  <w:rFonts w:hint="eastAsia" w:ascii="楷体" w:hAnsi="楷体" w:eastAsia="楷体" w:cs="楷体"/>
                  <w:b/>
                  <w:bCs/>
                  <w:sz w:val="24"/>
                  <w:szCs w:val="24"/>
                </w:rPr>
                <w:fldChar w:fldCharType="end"/>
              </w:r>
              <w:r>
                <w:rPr>
                  <w:rFonts w:hint="eastAsia" w:ascii="楷体" w:hAnsi="楷体" w:eastAsia="楷体" w:cs="楷体"/>
                  <w:b/>
                  <w:bCs/>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_Toc22662 </w:instrText>
              </w:r>
              <w:r>
                <w:rPr>
                  <w:rFonts w:hint="eastAsia" w:ascii="仿宋" w:hAnsi="仿宋" w:eastAsia="仿宋" w:cs="仿宋"/>
                  <w:sz w:val="24"/>
                  <w:szCs w:val="24"/>
                </w:rPr>
                <w:fldChar w:fldCharType="separate"/>
              </w:r>
              <w:r>
                <w:rPr>
                  <w:rFonts w:hint="eastAsia" w:ascii="仿宋" w:hAnsi="仿宋" w:eastAsia="仿宋" w:cs="仿宋"/>
                  <w:sz w:val="24"/>
                  <w:szCs w:val="24"/>
                </w:rPr>
                <w:t>（一）围绕“双高计划”，以关键领域突破，加速国际化建设水平</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_Toc22662 </w:instrText>
              </w:r>
              <w:r>
                <w:rPr>
                  <w:rFonts w:hint="eastAsia" w:ascii="仿宋" w:hAnsi="仿宋" w:eastAsia="仿宋" w:cs="仿宋"/>
                  <w:sz w:val="24"/>
                  <w:szCs w:val="24"/>
                </w:rPr>
                <w:fldChar w:fldCharType="separate"/>
              </w:r>
              <w:r>
                <w:rPr>
                  <w:rFonts w:hint="eastAsia" w:ascii="仿宋" w:hAnsi="仿宋" w:eastAsia="仿宋" w:cs="仿宋"/>
                  <w:sz w:val="24"/>
                  <w:szCs w:val="24"/>
                </w:rPr>
                <w:t>48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_Toc15665 </w:instrText>
              </w:r>
              <w:r>
                <w:rPr>
                  <w:rFonts w:hint="eastAsia" w:ascii="仿宋" w:hAnsi="仿宋" w:eastAsia="仿宋" w:cs="仿宋"/>
                  <w:sz w:val="24"/>
                  <w:szCs w:val="24"/>
                </w:rPr>
                <w:fldChar w:fldCharType="separate"/>
              </w:r>
              <w:r>
                <w:rPr>
                  <w:rFonts w:hint="eastAsia" w:ascii="仿宋" w:hAnsi="仿宋" w:eastAsia="仿宋" w:cs="仿宋"/>
                  <w:sz w:val="24"/>
                  <w:szCs w:val="24"/>
                </w:rPr>
                <w:t>（二）克服新冠疫情影响，线上线下确保中外合作办学项目教学质量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_Toc15665 </w:instrText>
              </w:r>
              <w:r>
                <w:rPr>
                  <w:rFonts w:hint="eastAsia" w:ascii="仿宋" w:hAnsi="仿宋" w:eastAsia="仿宋" w:cs="仿宋"/>
                  <w:sz w:val="24"/>
                  <w:szCs w:val="24"/>
                </w:rPr>
                <w:fldChar w:fldCharType="separate"/>
              </w:r>
              <w:r>
                <w:rPr>
                  <w:rFonts w:hint="eastAsia" w:ascii="仿宋" w:hAnsi="仿宋" w:eastAsia="仿宋" w:cs="仿宋"/>
                  <w:sz w:val="24"/>
                  <w:szCs w:val="24"/>
                </w:rPr>
                <w:t>49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_Toc2887 </w:instrText>
              </w:r>
              <w:r>
                <w:rPr>
                  <w:rFonts w:hint="eastAsia" w:ascii="仿宋" w:hAnsi="仿宋" w:eastAsia="仿宋" w:cs="仿宋"/>
                  <w:sz w:val="24"/>
                  <w:szCs w:val="24"/>
                </w:rPr>
                <w:fldChar w:fldCharType="separate"/>
              </w:r>
              <w:r>
                <w:rPr>
                  <w:rFonts w:hint="eastAsia" w:ascii="仿宋" w:hAnsi="仿宋" w:eastAsia="仿宋" w:cs="仿宋"/>
                  <w:sz w:val="24"/>
                  <w:szCs w:val="24"/>
                </w:rPr>
                <w:t>（三）跨国（境）线上交流培训，助力师资队伍国际化视野培养</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_Toc2887 </w:instrText>
              </w:r>
              <w:r>
                <w:rPr>
                  <w:rFonts w:hint="eastAsia" w:ascii="仿宋" w:hAnsi="仿宋" w:eastAsia="仿宋" w:cs="仿宋"/>
                  <w:sz w:val="24"/>
                  <w:szCs w:val="24"/>
                </w:rPr>
                <w:fldChar w:fldCharType="separate"/>
              </w:r>
              <w:r>
                <w:rPr>
                  <w:rFonts w:hint="eastAsia" w:ascii="仿宋" w:hAnsi="仿宋" w:eastAsia="仿宋" w:cs="仿宋"/>
                  <w:sz w:val="24"/>
                  <w:szCs w:val="24"/>
                </w:rPr>
                <w:t>49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06"/>
                </w:tabs>
                <w:rPr>
                  <w:rFonts w:hint="eastAsia" w:ascii="楷体" w:hAnsi="楷体" w:eastAsia="楷体" w:cs="楷体"/>
                  <w:b/>
                  <w:bCs/>
                  <w:sz w:val="24"/>
                  <w:szCs w:val="24"/>
                </w:rPr>
              </w:pPr>
              <w:r>
                <w:rPr>
                  <w:rFonts w:hint="eastAsia" w:ascii="楷体" w:hAnsi="楷体" w:eastAsia="楷体" w:cs="楷体"/>
                  <w:b/>
                  <w:bCs/>
                  <w:sz w:val="24"/>
                  <w:szCs w:val="24"/>
                </w:rPr>
                <w:fldChar w:fldCharType="begin"/>
              </w:r>
              <w:r>
                <w:rPr>
                  <w:rFonts w:hint="eastAsia" w:ascii="楷体" w:hAnsi="楷体" w:eastAsia="楷体" w:cs="楷体"/>
                  <w:b/>
                  <w:bCs/>
                  <w:sz w:val="24"/>
                  <w:szCs w:val="24"/>
                </w:rPr>
                <w:instrText xml:space="preserve"> HYPERLINK \l _Toc13937 </w:instrText>
              </w:r>
              <w:r>
                <w:rPr>
                  <w:rFonts w:hint="eastAsia" w:ascii="楷体" w:hAnsi="楷体" w:eastAsia="楷体" w:cs="楷体"/>
                  <w:b/>
                  <w:bCs/>
                  <w:sz w:val="24"/>
                  <w:szCs w:val="24"/>
                </w:rPr>
                <w:fldChar w:fldCharType="separate"/>
              </w:r>
              <w:r>
                <w:rPr>
                  <w:rFonts w:hint="eastAsia" w:ascii="楷体" w:hAnsi="楷体" w:eastAsia="楷体" w:cs="楷体"/>
                  <w:b/>
                  <w:bCs/>
                  <w:sz w:val="24"/>
                  <w:szCs w:val="24"/>
                  <w:lang w:eastAsia="zh-CN"/>
                </w:rPr>
                <w:t>六、服务贡献</w:t>
              </w:r>
              <w:r>
                <w:rPr>
                  <w:rFonts w:hint="eastAsia" w:ascii="楷体" w:hAnsi="楷体" w:eastAsia="楷体" w:cs="楷体"/>
                  <w:b/>
                  <w:bCs/>
                  <w:sz w:val="24"/>
                  <w:szCs w:val="24"/>
                </w:rPr>
                <w:tab/>
              </w:r>
              <w:r>
                <w:rPr>
                  <w:rFonts w:hint="eastAsia" w:ascii="楷体" w:hAnsi="楷体" w:eastAsia="楷体" w:cs="楷体"/>
                  <w:b/>
                  <w:bCs/>
                  <w:sz w:val="24"/>
                  <w:szCs w:val="24"/>
                </w:rPr>
                <w:fldChar w:fldCharType="begin"/>
              </w:r>
              <w:r>
                <w:rPr>
                  <w:rFonts w:hint="eastAsia" w:ascii="楷体" w:hAnsi="楷体" w:eastAsia="楷体" w:cs="楷体"/>
                  <w:b/>
                  <w:bCs/>
                  <w:sz w:val="24"/>
                  <w:szCs w:val="24"/>
                </w:rPr>
                <w:instrText xml:space="preserve"> PAGEREF _Toc13937 </w:instrText>
              </w:r>
              <w:r>
                <w:rPr>
                  <w:rFonts w:hint="eastAsia" w:ascii="楷体" w:hAnsi="楷体" w:eastAsia="楷体" w:cs="楷体"/>
                  <w:b/>
                  <w:bCs/>
                  <w:sz w:val="24"/>
                  <w:szCs w:val="24"/>
                </w:rPr>
                <w:fldChar w:fldCharType="separate"/>
              </w:r>
              <w:r>
                <w:rPr>
                  <w:rFonts w:hint="eastAsia" w:ascii="楷体" w:hAnsi="楷体" w:eastAsia="楷体" w:cs="楷体"/>
                  <w:b/>
                  <w:bCs/>
                  <w:sz w:val="24"/>
                  <w:szCs w:val="24"/>
                </w:rPr>
                <w:t>49</w:t>
              </w:r>
              <w:r>
                <w:rPr>
                  <w:rFonts w:hint="eastAsia" w:ascii="楷体" w:hAnsi="楷体" w:eastAsia="楷体" w:cs="楷体"/>
                  <w:b/>
                  <w:bCs/>
                  <w:sz w:val="24"/>
                  <w:szCs w:val="24"/>
                </w:rPr>
                <w:fldChar w:fldCharType="end"/>
              </w:r>
              <w:r>
                <w:rPr>
                  <w:rFonts w:hint="eastAsia" w:ascii="楷体" w:hAnsi="楷体" w:eastAsia="楷体" w:cs="楷体"/>
                  <w:b/>
                  <w:bCs/>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_Toc6048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（一）服务国家战略情况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_Toc6048 </w:instrText>
              </w:r>
              <w:r>
                <w:rPr>
                  <w:rFonts w:hint="eastAsia" w:ascii="仿宋" w:hAnsi="仿宋" w:eastAsia="仿宋" w:cs="仿宋"/>
                  <w:sz w:val="24"/>
                  <w:szCs w:val="24"/>
                </w:rPr>
                <w:fldChar w:fldCharType="separate"/>
              </w:r>
              <w:r>
                <w:rPr>
                  <w:rFonts w:hint="eastAsia" w:ascii="仿宋" w:hAnsi="仿宋" w:eastAsia="仿宋" w:cs="仿宋"/>
                  <w:sz w:val="24"/>
                  <w:szCs w:val="24"/>
                </w:rPr>
                <w:t>49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_Toc9023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1.对口支援</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_Toc9023 </w:instrText>
              </w:r>
              <w:r>
                <w:rPr>
                  <w:rFonts w:hint="eastAsia" w:ascii="仿宋" w:hAnsi="仿宋" w:eastAsia="仿宋" w:cs="仿宋"/>
                  <w:sz w:val="24"/>
                  <w:szCs w:val="24"/>
                </w:rPr>
                <w:fldChar w:fldCharType="separate"/>
              </w:r>
              <w:r>
                <w:rPr>
                  <w:rFonts w:hint="eastAsia" w:ascii="仿宋" w:hAnsi="仿宋" w:eastAsia="仿宋" w:cs="仿宋"/>
                  <w:sz w:val="24"/>
                  <w:szCs w:val="24"/>
                </w:rPr>
                <w:t>49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_Toc11597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2.脱贫攻坚</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_Toc11597 </w:instrText>
              </w:r>
              <w:r>
                <w:rPr>
                  <w:rFonts w:hint="eastAsia" w:ascii="仿宋" w:hAnsi="仿宋" w:eastAsia="仿宋" w:cs="仿宋"/>
                  <w:sz w:val="24"/>
                  <w:szCs w:val="24"/>
                </w:rPr>
                <w:fldChar w:fldCharType="separate"/>
              </w:r>
              <w:r>
                <w:rPr>
                  <w:rFonts w:hint="eastAsia" w:ascii="仿宋" w:hAnsi="仿宋" w:eastAsia="仿宋" w:cs="仿宋"/>
                  <w:sz w:val="24"/>
                  <w:szCs w:val="24"/>
                </w:rPr>
                <w:t>50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_Toc6415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（二）服务地区情况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_Toc6415 </w:instrText>
              </w:r>
              <w:r>
                <w:rPr>
                  <w:rFonts w:hint="eastAsia" w:ascii="仿宋" w:hAnsi="仿宋" w:eastAsia="仿宋" w:cs="仿宋"/>
                  <w:sz w:val="24"/>
                  <w:szCs w:val="24"/>
                </w:rPr>
                <w:fldChar w:fldCharType="separate"/>
              </w:r>
              <w:r>
                <w:rPr>
                  <w:rFonts w:hint="eastAsia" w:ascii="仿宋" w:hAnsi="仿宋" w:eastAsia="仿宋" w:cs="仿宋"/>
                  <w:sz w:val="24"/>
                  <w:szCs w:val="24"/>
                </w:rPr>
                <w:t>55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_Toc17913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lang w:val="en-US" w:eastAsia="zh-Hans"/>
                </w:rPr>
                <w:t>.毕业生就业情况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_Toc17913 </w:instrText>
              </w:r>
              <w:r>
                <w:rPr>
                  <w:rFonts w:hint="eastAsia" w:ascii="仿宋" w:hAnsi="仿宋" w:eastAsia="仿宋" w:cs="仿宋"/>
                  <w:sz w:val="24"/>
                  <w:szCs w:val="24"/>
                </w:rPr>
                <w:fldChar w:fldCharType="separate"/>
              </w:r>
              <w:r>
                <w:rPr>
                  <w:rFonts w:hint="eastAsia" w:ascii="仿宋" w:hAnsi="仿宋" w:eastAsia="仿宋" w:cs="仿宋"/>
                  <w:sz w:val="24"/>
                  <w:szCs w:val="24"/>
                </w:rPr>
                <w:t>55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_Toc1243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2.非学历教育与培训</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_Toc1243 </w:instrText>
              </w:r>
              <w:r>
                <w:rPr>
                  <w:rFonts w:hint="eastAsia" w:ascii="仿宋" w:hAnsi="仿宋" w:eastAsia="仿宋" w:cs="仿宋"/>
                  <w:sz w:val="24"/>
                  <w:szCs w:val="24"/>
                </w:rPr>
                <w:fldChar w:fldCharType="separate"/>
              </w:r>
              <w:r>
                <w:rPr>
                  <w:rFonts w:hint="eastAsia" w:ascii="仿宋" w:hAnsi="仿宋" w:eastAsia="仿宋" w:cs="仿宋"/>
                  <w:sz w:val="24"/>
                  <w:szCs w:val="24"/>
                </w:rPr>
                <w:t>56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_Toc29892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4</w:t>
              </w:r>
              <w:r>
                <w:rPr>
                  <w:rFonts w:hint="eastAsia" w:ascii="仿宋" w:hAnsi="仿宋" w:eastAsia="仿宋" w:cs="仿宋"/>
                  <w:sz w:val="24"/>
                  <w:szCs w:val="24"/>
                  <w:lang w:val="en-US" w:eastAsia="zh-CN"/>
                </w:rPr>
                <w:t>.职业技能鉴定与资格认证</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_Toc29892 </w:instrText>
              </w:r>
              <w:r>
                <w:rPr>
                  <w:rFonts w:hint="eastAsia" w:ascii="仿宋" w:hAnsi="仿宋" w:eastAsia="仿宋" w:cs="仿宋"/>
                  <w:sz w:val="24"/>
                  <w:szCs w:val="24"/>
                </w:rPr>
                <w:fldChar w:fldCharType="separate"/>
              </w:r>
              <w:r>
                <w:rPr>
                  <w:rFonts w:hint="eastAsia" w:ascii="仿宋" w:hAnsi="仿宋" w:eastAsia="仿宋" w:cs="仿宋"/>
                  <w:sz w:val="24"/>
                  <w:szCs w:val="24"/>
                </w:rPr>
                <w:t>58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_Toc26381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5</w:t>
              </w:r>
              <w:r>
                <w:rPr>
                  <w:rFonts w:hint="eastAsia" w:ascii="仿宋" w:hAnsi="仿宋" w:eastAsia="仿宋" w:cs="仿宋"/>
                  <w:sz w:val="24"/>
                  <w:szCs w:val="24"/>
                  <w:lang w:val="en-US" w:eastAsia="zh-CN"/>
                </w:rPr>
                <w:t>.服务地方文化建设</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_Toc26381 </w:instrText>
              </w:r>
              <w:r>
                <w:rPr>
                  <w:rFonts w:hint="eastAsia" w:ascii="仿宋" w:hAnsi="仿宋" w:eastAsia="仿宋" w:cs="仿宋"/>
                  <w:sz w:val="24"/>
                  <w:szCs w:val="24"/>
                </w:rPr>
                <w:fldChar w:fldCharType="separate"/>
              </w:r>
              <w:r>
                <w:rPr>
                  <w:rFonts w:hint="eastAsia" w:ascii="仿宋" w:hAnsi="仿宋" w:eastAsia="仿宋" w:cs="仿宋"/>
                  <w:sz w:val="24"/>
                  <w:szCs w:val="24"/>
                </w:rPr>
                <w:t>59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_Toc13073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（三）服务行业企业</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_Toc13073 </w:instrText>
              </w:r>
              <w:r>
                <w:rPr>
                  <w:rFonts w:hint="eastAsia" w:ascii="仿宋" w:hAnsi="仿宋" w:eastAsia="仿宋" w:cs="仿宋"/>
                  <w:sz w:val="24"/>
                  <w:szCs w:val="24"/>
                </w:rPr>
                <w:fldChar w:fldCharType="separate"/>
              </w:r>
              <w:r>
                <w:rPr>
                  <w:rFonts w:hint="eastAsia" w:ascii="仿宋" w:hAnsi="仿宋" w:eastAsia="仿宋" w:cs="仿宋"/>
                  <w:sz w:val="24"/>
                  <w:szCs w:val="24"/>
                </w:rPr>
                <w:t>59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_Toc27543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lang w:val="en-US" w:eastAsia="zh-Hans"/>
                </w:rPr>
                <w:t>.</w:t>
              </w:r>
              <w:r>
                <w:rPr>
                  <w:rFonts w:hint="eastAsia" w:ascii="仿宋" w:hAnsi="仿宋" w:eastAsia="仿宋" w:cs="仿宋"/>
                  <w:sz w:val="24"/>
                  <w:szCs w:val="24"/>
                </w:rPr>
                <w:t>校企合作进一步加强，服务行业能力进一步提升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_Toc27543 </w:instrText>
              </w:r>
              <w:r>
                <w:rPr>
                  <w:rFonts w:hint="eastAsia" w:ascii="仿宋" w:hAnsi="仿宋" w:eastAsia="仿宋" w:cs="仿宋"/>
                  <w:sz w:val="24"/>
                  <w:szCs w:val="24"/>
                </w:rPr>
                <w:fldChar w:fldCharType="separate"/>
              </w:r>
              <w:r>
                <w:rPr>
                  <w:rFonts w:hint="eastAsia" w:ascii="仿宋" w:hAnsi="仿宋" w:eastAsia="仿宋" w:cs="仿宋"/>
                  <w:sz w:val="24"/>
                  <w:szCs w:val="24"/>
                </w:rPr>
                <w:t>59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_Toc7362 </w:instrText>
              </w:r>
              <w:r>
                <w:rPr>
                  <w:rFonts w:hint="eastAsia" w:ascii="仿宋" w:hAnsi="仿宋" w:eastAsia="仿宋" w:cs="仿宋"/>
                  <w:sz w:val="24"/>
                  <w:szCs w:val="24"/>
                </w:rPr>
                <w:fldChar w:fldCharType="separate"/>
              </w:r>
              <w:r>
                <w:rPr>
                  <w:rFonts w:hint="eastAsia" w:ascii="仿宋" w:hAnsi="仿宋" w:eastAsia="仿宋" w:cs="仿宋"/>
                  <w:sz w:val="24"/>
                  <w:szCs w:val="24"/>
                </w:rPr>
                <w:t>2.进一步推动“政行校企”合作深入开展</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_Toc7362 </w:instrText>
              </w:r>
              <w:r>
                <w:rPr>
                  <w:rFonts w:hint="eastAsia" w:ascii="仿宋" w:hAnsi="仿宋" w:eastAsia="仿宋" w:cs="仿宋"/>
                  <w:sz w:val="24"/>
                  <w:szCs w:val="24"/>
                </w:rPr>
                <w:fldChar w:fldCharType="separate"/>
              </w:r>
              <w:r>
                <w:rPr>
                  <w:rFonts w:hint="eastAsia" w:ascii="仿宋" w:hAnsi="仿宋" w:eastAsia="仿宋" w:cs="仿宋"/>
                  <w:sz w:val="24"/>
                  <w:szCs w:val="24"/>
                </w:rPr>
                <w:t>60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7"/>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_Toc10174 </w:instrText>
              </w:r>
              <w:r>
                <w:rPr>
                  <w:rFonts w:hint="eastAsia" w:ascii="仿宋" w:hAnsi="仿宋" w:eastAsia="仿宋" w:cs="仿宋"/>
                  <w:sz w:val="24"/>
                  <w:szCs w:val="24"/>
                </w:rPr>
                <w:fldChar w:fldCharType="separate"/>
              </w:r>
              <w:r>
                <w:rPr>
                  <w:rFonts w:hint="eastAsia" w:ascii="仿宋" w:hAnsi="仿宋" w:eastAsia="仿宋" w:cs="仿宋"/>
                  <w:sz w:val="24"/>
                  <w:szCs w:val="24"/>
                </w:rPr>
                <w:t>3.专业设置与产业需求对接，提升专业服务产业力</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_Toc10174 </w:instrText>
              </w:r>
              <w:r>
                <w:rPr>
                  <w:rFonts w:hint="eastAsia" w:ascii="仿宋" w:hAnsi="仿宋" w:eastAsia="仿宋" w:cs="仿宋"/>
                  <w:sz w:val="24"/>
                  <w:szCs w:val="24"/>
                </w:rPr>
                <w:fldChar w:fldCharType="separate"/>
              </w:r>
              <w:r>
                <w:rPr>
                  <w:rFonts w:hint="eastAsia" w:ascii="仿宋" w:hAnsi="仿宋" w:eastAsia="仿宋" w:cs="仿宋"/>
                  <w:sz w:val="24"/>
                  <w:szCs w:val="24"/>
                </w:rPr>
                <w:t>61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06"/>
                </w:tabs>
                <w:rPr>
                  <w:rFonts w:hint="eastAsia" w:ascii="仿宋" w:hAnsi="仿宋" w:eastAsia="仿宋" w:cs="仿宋"/>
                  <w:b/>
                  <w:bCs/>
                  <w:sz w:val="24"/>
                  <w:szCs w:val="24"/>
                </w:rPr>
              </w:pP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HYPERLINK \l _Toc24388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lang w:eastAsia="zh-CN"/>
                </w:rPr>
                <w:t>七、抗击疫情，强化服务</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_Toc24388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61</w:t>
              </w:r>
              <w:r>
                <w:rPr>
                  <w:rFonts w:hint="eastAsia" w:ascii="仿宋" w:hAnsi="仿宋" w:eastAsia="仿宋" w:cs="仿宋"/>
                  <w:b/>
                  <w:bCs/>
                  <w:sz w:val="24"/>
                  <w:szCs w:val="24"/>
                </w:rPr>
                <w:fldChar w:fldCharType="end"/>
              </w:r>
              <w:r>
                <w:rPr>
                  <w:rFonts w:hint="eastAsia" w:ascii="仿宋" w:hAnsi="仿宋" w:eastAsia="仿宋" w:cs="仿宋"/>
                  <w:b/>
                  <w:bCs/>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_Toc21360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（一）教学工作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_Toc21360 </w:instrText>
              </w:r>
              <w:r>
                <w:rPr>
                  <w:rFonts w:hint="eastAsia" w:ascii="仿宋" w:hAnsi="仿宋" w:eastAsia="仿宋" w:cs="仿宋"/>
                  <w:sz w:val="24"/>
                  <w:szCs w:val="24"/>
                </w:rPr>
                <w:fldChar w:fldCharType="separate"/>
              </w:r>
              <w:r>
                <w:rPr>
                  <w:rFonts w:hint="eastAsia" w:ascii="仿宋" w:hAnsi="仿宋" w:eastAsia="仿宋" w:cs="仿宋"/>
                  <w:sz w:val="24"/>
                  <w:szCs w:val="24"/>
                </w:rPr>
                <w:t>61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_Toc31266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（二）学生管理工作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_Toc31266 </w:instrText>
              </w:r>
              <w:r>
                <w:rPr>
                  <w:rFonts w:hint="eastAsia" w:ascii="仿宋" w:hAnsi="仿宋" w:eastAsia="仿宋" w:cs="仿宋"/>
                  <w:sz w:val="24"/>
                  <w:szCs w:val="24"/>
                </w:rPr>
                <w:fldChar w:fldCharType="separate"/>
              </w:r>
              <w:r>
                <w:rPr>
                  <w:rFonts w:hint="eastAsia" w:ascii="仿宋" w:hAnsi="仿宋" w:eastAsia="仿宋" w:cs="仿宋"/>
                  <w:sz w:val="24"/>
                  <w:szCs w:val="24"/>
                </w:rPr>
                <w:t>62</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_Toc16924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（三）教职工管理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_Toc16924 </w:instrText>
              </w:r>
              <w:r>
                <w:rPr>
                  <w:rFonts w:hint="eastAsia" w:ascii="仿宋" w:hAnsi="仿宋" w:eastAsia="仿宋" w:cs="仿宋"/>
                  <w:sz w:val="24"/>
                  <w:szCs w:val="24"/>
                </w:rPr>
                <w:fldChar w:fldCharType="separate"/>
              </w:r>
              <w:r>
                <w:rPr>
                  <w:rFonts w:hint="eastAsia" w:ascii="仿宋" w:hAnsi="仿宋" w:eastAsia="仿宋" w:cs="仿宋"/>
                  <w:sz w:val="24"/>
                  <w:szCs w:val="24"/>
                </w:rPr>
                <w:t>64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_Toc9455 </w:instrText>
              </w:r>
              <w:r>
                <w:rPr>
                  <w:rFonts w:hint="eastAsia" w:ascii="仿宋" w:hAnsi="仿宋" w:eastAsia="仿宋" w:cs="仿宋"/>
                  <w:sz w:val="24"/>
                  <w:szCs w:val="24"/>
                </w:rPr>
                <w:fldChar w:fldCharType="separate"/>
              </w:r>
              <w:r>
                <w:rPr>
                  <w:rFonts w:hint="eastAsia" w:ascii="仿宋" w:hAnsi="仿宋" w:eastAsia="仿宋" w:cs="仿宋"/>
                  <w:sz w:val="24"/>
                  <w:szCs w:val="24"/>
                  <w:lang w:eastAsia="zh-CN"/>
                </w:rPr>
                <w:t>（四）学校日常管理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_Toc9455 </w:instrText>
              </w:r>
              <w:r>
                <w:rPr>
                  <w:rFonts w:hint="eastAsia" w:ascii="仿宋" w:hAnsi="仿宋" w:eastAsia="仿宋" w:cs="仿宋"/>
                  <w:sz w:val="24"/>
                  <w:szCs w:val="24"/>
                </w:rPr>
                <w:fldChar w:fldCharType="separate"/>
              </w:r>
              <w:r>
                <w:rPr>
                  <w:rFonts w:hint="eastAsia" w:ascii="仿宋" w:hAnsi="仿宋" w:eastAsia="仿宋" w:cs="仿宋"/>
                  <w:sz w:val="24"/>
                  <w:szCs w:val="24"/>
                </w:rPr>
                <w:t>65</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06"/>
                </w:tabs>
                <w:rPr>
                  <w:rFonts w:hint="eastAsia" w:ascii="仿宋" w:hAnsi="仿宋" w:eastAsia="仿宋" w:cs="仿宋"/>
                  <w:b/>
                  <w:bCs/>
                  <w:sz w:val="24"/>
                  <w:szCs w:val="24"/>
                </w:rPr>
              </w:pP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HYPERLINK \l _Toc16222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lang w:val="en-US" w:eastAsia="zh-Hans"/>
                </w:rPr>
                <w:t>八</w:t>
              </w:r>
              <w:r>
                <w:rPr>
                  <w:rFonts w:hint="eastAsia" w:ascii="仿宋" w:hAnsi="仿宋" w:eastAsia="仿宋" w:cs="仿宋"/>
                  <w:b/>
                  <w:bCs/>
                  <w:sz w:val="24"/>
                  <w:szCs w:val="24"/>
                  <w:lang w:eastAsia="zh-Hans"/>
                </w:rPr>
                <w:t>、</w:t>
              </w:r>
              <w:r>
                <w:rPr>
                  <w:rFonts w:hint="eastAsia" w:ascii="仿宋" w:hAnsi="仿宋" w:eastAsia="仿宋" w:cs="仿宋"/>
                  <w:b/>
                  <w:bCs/>
                  <w:sz w:val="24"/>
                  <w:szCs w:val="24"/>
                  <w:lang w:val="en-US" w:eastAsia="zh-Hans"/>
                </w:rPr>
                <w:t>挑战与展望</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_Toc16222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66</w:t>
              </w:r>
              <w:r>
                <w:rPr>
                  <w:rFonts w:hint="eastAsia" w:ascii="仿宋" w:hAnsi="仿宋" w:eastAsia="仿宋" w:cs="仿宋"/>
                  <w:b/>
                  <w:bCs/>
                  <w:sz w:val="24"/>
                  <w:szCs w:val="24"/>
                </w:rPr>
                <w:fldChar w:fldCharType="end"/>
              </w:r>
              <w:r>
                <w:rPr>
                  <w:rFonts w:hint="eastAsia" w:ascii="仿宋" w:hAnsi="仿宋" w:eastAsia="仿宋" w:cs="仿宋"/>
                  <w:b/>
                  <w:bCs/>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_Toc3531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（一）挑战</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_Toc3531 </w:instrText>
              </w:r>
              <w:r>
                <w:rPr>
                  <w:rFonts w:hint="eastAsia" w:ascii="仿宋" w:hAnsi="仿宋" w:eastAsia="仿宋" w:cs="仿宋"/>
                  <w:sz w:val="24"/>
                  <w:szCs w:val="24"/>
                </w:rPr>
                <w:fldChar w:fldCharType="separate"/>
              </w:r>
              <w:r>
                <w:rPr>
                  <w:rFonts w:hint="eastAsia" w:ascii="仿宋" w:hAnsi="仿宋" w:eastAsia="仿宋" w:cs="仿宋"/>
                  <w:sz w:val="24"/>
                  <w:szCs w:val="24"/>
                </w:rPr>
                <w:t>66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1"/>
                <w:tabs>
                  <w:tab w:val="right" w:leader="dot" w:pos="8306"/>
                </w:tabs>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_Toc22018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rPr>
                <w:t>（二）展望</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_Toc22018 </w:instrText>
              </w:r>
              <w:r>
                <w:rPr>
                  <w:rFonts w:hint="eastAsia" w:ascii="仿宋" w:hAnsi="仿宋" w:eastAsia="仿宋" w:cs="仿宋"/>
                  <w:sz w:val="24"/>
                  <w:szCs w:val="24"/>
                </w:rPr>
                <w:fldChar w:fldCharType="separate"/>
              </w:r>
              <w:r>
                <w:rPr>
                  <w:rFonts w:hint="eastAsia" w:ascii="仿宋" w:hAnsi="仿宋" w:eastAsia="仿宋" w:cs="仿宋"/>
                  <w:sz w:val="24"/>
                  <w:szCs w:val="24"/>
                </w:rPr>
                <w:t>67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pPr>
                <w:pStyle w:val="10"/>
                <w:tabs>
                  <w:tab w:val="right" w:leader="dot" w:pos="8306"/>
                </w:tabs>
                <w:rPr>
                  <w:rFonts w:hint="eastAsia" w:ascii="仿宋" w:hAnsi="仿宋" w:eastAsia="仿宋" w:cs="仿宋"/>
                  <w:sz w:val="24"/>
                  <w:szCs w:val="24"/>
                </w:rPr>
              </w:pP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HYPERLINK \l _Toc31956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lang w:val="en-US" w:eastAsia="zh-Hans"/>
                </w:rPr>
                <w:t>九</w:t>
              </w:r>
              <w:r>
                <w:rPr>
                  <w:rFonts w:hint="eastAsia" w:ascii="仿宋" w:hAnsi="仿宋" w:eastAsia="仿宋" w:cs="仿宋"/>
                  <w:b/>
                  <w:bCs/>
                  <w:sz w:val="24"/>
                  <w:szCs w:val="24"/>
                  <w:lang w:eastAsia="zh-CN"/>
                </w:rPr>
                <w:t>、相关附表</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_Toc31956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68</w:t>
              </w:r>
              <w:r>
                <w:rPr>
                  <w:rFonts w:hint="eastAsia" w:ascii="仿宋" w:hAnsi="仿宋" w:eastAsia="仿宋" w:cs="仿宋"/>
                  <w:b/>
                  <w:bCs/>
                  <w:sz w:val="24"/>
                  <w:szCs w:val="24"/>
                </w:rPr>
                <w:fldChar w:fldCharType="end"/>
              </w:r>
              <w:r>
                <w:rPr>
                  <w:rFonts w:hint="eastAsia" w:ascii="仿宋" w:hAnsi="仿宋" w:eastAsia="仿宋" w:cs="仿宋"/>
                  <w:b/>
                  <w:bCs/>
                  <w:sz w:val="24"/>
                  <w:szCs w:val="24"/>
                </w:rPr>
                <w:fldChar w:fldCharType="end"/>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24"/>
                  <w:szCs w:val="24"/>
                </w:rPr>
              </w:pPr>
              <w:r>
                <w:rPr>
                  <w:rFonts w:hint="eastAsia" w:ascii="仿宋" w:hAnsi="仿宋" w:eastAsia="仿宋" w:cs="仿宋"/>
                  <w:sz w:val="24"/>
                  <w:szCs w:val="24"/>
                </w:rPr>
                <w:fldChar w:fldCharType="end"/>
              </w:r>
            </w:p>
          </w:sdtContent>
        </w:sdt>
        <w:p>
          <w:pPr>
            <w:rPr>
              <w:rFonts w:hint="eastAsia" w:ascii="黑体" w:hAnsi="黑体" w:eastAsia="黑体" w:cs="微软雅黑"/>
              <w:kern w:val="0"/>
              <w:sz w:val="36"/>
              <w:szCs w:val="36"/>
            </w:rPr>
          </w:pPr>
        </w:p>
      </w:sdtContent>
    </w:sdt>
    <w:p>
      <w:pPr>
        <w:keepNext w:val="0"/>
        <w:keepLines w:val="0"/>
        <w:pageBreakBefore w:val="0"/>
        <w:widowControl w:val="0"/>
        <w:kinsoku/>
        <w:wordWrap/>
        <w:overflowPunct/>
        <w:topLinePunct w:val="0"/>
        <w:autoSpaceDE/>
        <w:autoSpaceDN/>
        <w:bidi w:val="0"/>
        <w:adjustRightInd/>
        <w:snapToGrid w:val="0"/>
        <w:spacing w:before="312" w:beforeLines="100" w:after="312" w:afterLines="100" w:line="360" w:lineRule="auto"/>
        <w:jc w:val="center"/>
        <w:textAlignment w:val="auto"/>
        <w:outlineLvl w:val="0"/>
        <w:rPr>
          <w:rFonts w:hint="eastAsia" w:ascii="黑体" w:hAnsi="黑体" w:eastAsia="黑体" w:cs="微软雅黑"/>
          <w:kern w:val="0"/>
          <w:sz w:val="36"/>
          <w:szCs w:val="36"/>
          <w:lang w:eastAsia="zh-CN"/>
        </w:rPr>
      </w:pPr>
      <w:r>
        <w:rPr>
          <w:rFonts w:hint="eastAsia" w:ascii="黑体" w:hAnsi="黑体" w:eastAsia="黑体" w:cs="微软雅黑"/>
          <w:kern w:val="0"/>
          <w:sz w:val="36"/>
          <w:szCs w:val="36"/>
          <w:lang w:eastAsia="zh-CN"/>
        </w:rPr>
        <w:drawing>
          <wp:inline distT="0" distB="0" distL="114300" distR="114300">
            <wp:extent cx="5267325" cy="7441565"/>
            <wp:effectExtent l="0" t="0" r="5715" b="10795"/>
            <wp:docPr id="8" name="图片 8" descr="Scan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can_00"/>
                    <pic:cNvPicPr>
                      <a:picLocks noChangeAspect="1"/>
                    </pic:cNvPicPr>
                  </pic:nvPicPr>
                  <pic:blipFill>
                    <a:blip r:embed="rId8"/>
                    <a:stretch>
                      <a:fillRect/>
                    </a:stretch>
                  </pic:blipFill>
                  <pic:spPr>
                    <a:xfrm>
                      <a:off x="0" y="0"/>
                      <a:ext cx="5267325" cy="7441565"/>
                    </a:xfrm>
                    <a:prstGeom prst="rect">
                      <a:avLst/>
                    </a:prstGeom>
                  </pic:spPr>
                </pic:pic>
              </a:graphicData>
            </a:graphic>
          </wp:inline>
        </w:drawing>
      </w:r>
    </w:p>
    <w:p>
      <w:pPr>
        <w:pStyle w:val="2"/>
        <w:outlineLvl w:val="9"/>
        <w:rPr>
          <w:rFonts w:hint="eastAsia" w:ascii="仿宋_GB2312" w:hAnsi="仿宋_GB2312" w:eastAsia="仿宋_GB2312" w:cs="仿宋_GB2312"/>
          <w:color w:val="auto"/>
          <w:sz w:val="32"/>
          <w:szCs w:val="32"/>
        </w:rPr>
      </w:pPr>
    </w:p>
    <w:p>
      <w:pPr>
        <w:pStyle w:val="2"/>
        <w:outlineLvl w:val="9"/>
        <w:rPr>
          <w:rFonts w:hint="eastAsia"/>
          <w:lang w:eastAsia="zh-CN"/>
        </w:rPr>
        <w:sectPr>
          <w:footerReference r:id="rId5" w:type="default"/>
          <w:pgSz w:w="11906" w:h="16838"/>
          <w:pgMar w:top="1440" w:right="1800" w:bottom="1440" w:left="1800" w:header="851" w:footer="992" w:gutter="0"/>
          <w:pgNumType w:fmt="decimal" w:start="1"/>
          <w:cols w:space="425" w:num="1"/>
          <w:docGrid w:type="lines" w:linePitch="312" w:charSpace="0"/>
        </w:sectPr>
      </w:pPr>
    </w:p>
    <w:p>
      <w:pPr>
        <w:pStyle w:val="3"/>
        <w:pageBreakBefore w:val="0"/>
        <w:numPr>
          <w:ilvl w:val="0"/>
          <w:numId w:val="0"/>
        </w:numPr>
        <w:kinsoku/>
        <w:wordWrap/>
        <w:overflowPunct/>
        <w:topLinePunct w:val="0"/>
        <w:bidi w:val="0"/>
        <w:spacing w:line="560" w:lineRule="exact"/>
        <w:ind w:right="0" w:rightChars="0" w:firstLine="643" w:firstLineChars="200"/>
        <w:textAlignment w:val="auto"/>
        <w:rPr>
          <w:rFonts w:hint="eastAsia" w:ascii="黑体" w:hAnsi="黑体" w:eastAsia="黑体" w:cs="黑体"/>
          <w:b/>
          <w:bCs/>
          <w:color w:val="auto"/>
          <w:sz w:val="32"/>
          <w:szCs w:val="32"/>
          <w:lang w:val="en-US" w:eastAsia="zh-CN"/>
        </w:rPr>
      </w:pPr>
      <w:bookmarkStart w:id="1" w:name="_Toc19725"/>
      <w:r>
        <w:rPr>
          <w:rFonts w:hint="eastAsia" w:ascii="黑体" w:hAnsi="黑体" w:eastAsia="黑体" w:cs="黑体"/>
          <w:b/>
          <w:bCs w:val="0"/>
          <w:color w:val="auto"/>
          <w:sz w:val="32"/>
          <w:szCs w:val="32"/>
          <w:lang w:eastAsia="zh-CN"/>
        </w:rPr>
        <w:t>一、</w:t>
      </w:r>
      <w:r>
        <w:rPr>
          <w:rFonts w:hint="eastAsia" w:ascii="黑体" w:hAnsi="黑体" w:eastAsia="黑体" w:cs="黑体"/>
          <w:b/>
          <w:bCs w:val="0"/>
          <w:color w:val="auto"/>
          <w:sz w:val="32"/>
          <w:szCs w:val="32"/>
        </w:rPr>
        <w:t>办学</w:t>
      </w:r>
      <w:r>
        <w:rPr>
          <w:rFonts w:hint="eastAsia" w:ascii="黑体" w:hAnsi="黑体" w:eastAsia="黑体" w:cs="黑体"/>
          <w:b/>
          <w:bCs w:val="0"/>
          <w:color w:val="auto"/>
          <w:sz w:val="32"/>
          <w:szCs w:val="32"/>
          <w:lang w:eastAsia="zh-CN"/>
        </w:rPr>
        <w:t>基本情况</w:t>
      </w:r>
      <w:r>
        <w:rPr>
          <w:rFonts w:hint="eastAsia" w:ascii="黑体" w:hAnsi="黑体" w:eastAsia="黑体" w:cs="黑体"/>
          <w:b/>
          <w:bCs w:val="0"/>
          <w:color w:val="auto"/>
          <w:sz w:val="32"/>
          <w:szCs w:val="32"/>
        </w:rPr>
        <w:t>概述</w:t>
      </w:r>
      <w:bookmarkEnd w:id="1"/>
      <w:r>
        <w:rPr>
          <w:rFonts w:hint="eastAsia" w:ascii="黑体" w:hAnsi="黑体" w:eastAsia="黑体" w:cs="黑体"/>
          <w:b/>
          <w:bCs w:val="0"/>
          <w:color w:val="auto"/>
          <w:sz w:val="32"/>
          <w:szCs w:val="32"/>
          <w:lang w:val="en-US" w:eastAsia="zh-CN"/>
        </w:rPr>
        <w:t xml:space="preserve"> </w:t>
      </w:r>
    </w:p>
    <w:p>
      <w:pPr>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sz w:val="32"/>
          <w:szCs w:val="32"/>
          <w:lang w:val="en-US" w:eastAsia="zh-CN"/>
        </w:rPr>
        <w:t>2020年，我校继续围绕“进一步明确办学定位，夯实教学基础，凸显办学特色，谋求跨越发展”的办学思路开展人才培养工作，紧扣“双高”建设重点任务，不断加强内涵建设，各项工作取得了显著成效。突出表现在：全日制在校生达2.08万余人，办学规模创历史新高</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2020年</w:t>
      </w:r>
      <w:r>
        <w:rPr>
          <w:rFonts w:hint="default"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录取新生8322人，在2020年广西高职院校的普通批次出档线排名中，我校文史类排名第3位，理工类排名第4位，毕业生的初次就业率达到95.38%，连续第15年荣获“广西高校毕业生就业创业工作突出单位”荣誉称号，招生就业持续两旺；课程教学信息化改革不断深化，混合课程建设成效显著，获批自治区级职业教育在线精品课程2门、</w:t>
      </w:r>
      <w:r>
        <w:rPr>
          <w:rFonts w:hint="eastAsia" w:ascii="仿宋_GB2312" w:hAnsi="仿宋_GB2312" w:eastAsia="仿宋_GB2312" w:cs="仿宋_GB2312"/>
          <w:sz w:val="32"/>
          <w:szCs w:val="32"/>
        </w:rPr>
        <w:t>自治区级专业教学资源库1项</w:t>
      </w:r>
      <w:r>
        <w:rPr>
          <w:rFonts w:hint="eastAsia" w:ascii="仿宋_GB2312" w:hAnsi="仿宋_GB2312" w:eastAsia="仿宋_GB2312" w:cs="仿宋_GB2312"/>
          <w:sz w:val="32"/>
          <w:szCs w:val="32"/>
          <w:lang w:val="en-US" w:eastAsia="zh-CN"/>
        </w:rPr>
        <w:t>；人才培养质量全面提高，成功获批国家第三批12个1+X证书制度试点院校；成为英国国家学历学位评估认证中心20个国际专业认证试点单位之一；我校牵头的广西建设职业教育集团成功入选全国第一批示范性职业教育集团（联盟）培育单位；继高端应用型本科人才联合培养试点项目、“2+3”中职与高职分段培养试点项目后，与桂林理工大学、广西大学行健文理学院开展联合培养人才；第三个专业群发展研究基地—市政工程技术专业群发展研究基地揭牌；推荐1206名优秀毕业生升入15所本科院校，升本人数及升入本科院校数均达到历史之最。</w:t>
      </w:r>
    </w:p>
    <w:p>
      <w:pPr>
        <w:pStyle w:val="4"/>
        <w:pageBreakBefore w:val="0"/>
        <w:widowControl w:val="0"/>
        <w:numPr>
          <w:ilvl w:val="0"/>
          <w:numId w:val="0"/>
        </w:numPr>
        <w:kinsoku/>
        <w:wordWrap/>
        <w:overflowPunct/>
        <w:topLinePunct w:val="0"/>
        <w:autoSpaceDE/>
        <w:autoSpaceDN/>
        <w:bidi w:val="0"/>
        <w:snapToGrid/>
        <w:spacing w:line="0" w:lineRule="atLeast"/>
        <w:ind w:right="0" w:rightChars="0" w:firstLine="482" w:firstLineChars="150"/>
        <w:textAlignment w:val="auto"/>
        <w:rPr>
          <w:rFonts w:hint="eastAsia" w:ascii="楷体_GB2312" w:hAnsi="楷体_GB2312" w:eastAsia="楷体_GB2312" w:cs="楷体_GB2312"/>
          <w:b/>
          <w:bCs/>
          <w:color w:val="auto"/>
          <w:sz w:val="32"/>
          <w:szCs w:val="32"/>
        </w:rPr>
      </w:pPr>
      <w:bookmarkStart w:id="2" w:name="_Toc14189"/>
      <w:bookmarkStart w:id="3" w:name="_Toc437380299"/>
      <w:bookmarkStart w:id="4" w:name="_Toc1157"/>
      <w:r>
        <w:rPr>
          <w:rFonts w:hint="eastAsia" w:ascii="楷体_GB2312" w:hAnsi="楷体_GB2312" w:eastAsia="楷体_GB2312" w:cs="楷体_GB2312"/>
          <w:b/>
          <w:bCs/>
          <w:color w:val="auto"/>
          <w:sz w:val="32"/>
          <w:szCs w:val="32"/>
          <w:lang w:eastAsia="zh-CN"/>
        </w:rPr>
        <w:t>（一）</w:t>
      </w:r>
      <w:r>
        <w:rPr>
          <w:rFonts w:hint="eastAsia" w:ascii="楷体_GB2312" w:hAnsi="楷体_GB2312" w:eastAsia="楷体_GB2312" w:cs="楷体_GB2312"/>
          <w:b/>
          <w:bCs/>
          <w:color w:val="auto"/>
          <w:sz w:val="32"/>
          <w:szCs w:val="32"/>
        </w:rPr>
        <w:t>办学条件</w:t>
      </w:r>
      <w:bookmarkEnd w:id="2"/>
      <w:bookmarkEnd w:id="3"/>
      <w:bookmarkEnd w:id="4"/>
    </w:p>
    <w:p>
      <w:pPr>
        <w:pStyle w:val="5"/>
        <w:pageBreakBefore w:val="0"/>
        <w:widowControl w:val="0"/>
        <w:kinsoku/>
        <w:wordWrap/>
        <w:overflowPunct/>
        <w:topLinePunct w:val="0"/>
        <w:autoSpaceDE/>
        <w:autoSpaceDN/>
        <w:bidi w:val="0"/>
        <w:snapToGrid/>
        <w:spacing w:line="0" w:lineRule="atLeast"/>
        <w:textAlignment w:val="auto"/>
        <w:rPr>
          <w:rFonts w:hint="eastAsia" w:ascii="仿宋_GB2312" w:hAnsi="仿宋_GB2312" w:eastAsia="仿宋_GB2312" w:cs="仿宋_GB2312"/>
        </w:rPr>
      </w:pPr>
      <w:bookmarkStart w:id="5" w:name="_Toc12449"/>
      <w:r>
        <w:rPr>
          <w:rFonts w:hint="eastAsia" w:ascii="仿宋_GB2312" w:hAnsi="仿宋_GB2312" w:eastAsia="仿宋_GB2312" w:cs="仿宋_GB2312"/>
        </w:rPr>
        <w:t>1.办学基本条件</w:t>
      </w:r>
      <w:bookmarkEnd w:id="5"/>
    </w:p>
    <w:p>
      <w:pPr>
        <w:pStyle w:val="12"/>
        <w:pageBreakBefore w:val="0"/>
        <w:widowControl w:val="0"/>
        <w:kinsoku/>
        <w:wordWrap/>
        <w:overflowPunct/>
        <w:topLinePunct w:val="0"/>
        <w:autoSpaceDE/>
        <w:autoSpaceDN/>
        <w:bidi w:val="0"/>
        <w:adjustRightInd w:val="0"/>
        <w:snapToGrid/>
        <w:spacing w:before="0" w:beforeAutospacing="0" w:after="0" w:afterAutospacing="0" w:line="0" w:lineRule="atLeast"/>
        <w:ind w:right="0" w:rightChars="0" w:firstLine="321" w:firstLineChars="100"/>
        <w:jc w:val="both"/>
        <w:textAlignment w:val="auto"/>
        <w:rPr>
          <w:rFonts w:hint="eastAsia" w:ascii="仿宋_GB2312" w:hAnsi="仿宋_GB2312" w:eastAsia="仿宋_GB2312" w:cs="仿宋_GB2312"/>
          <w:b/>
          <w:bCs/>
          <w:color w:val="auto"/>
          <w:kern w:val="2"/>
          <w:sz w:val="32"/>
          <w:szCs w:val="32"/>
          <w:lang w:eastAsia="zh-CN"/>
        </w:rPr>
      </w:pPr>
      <w:r>
        <w:rPr>
          <w:rFonts w:hint="eastAsia" w:ascii="仿宋_GB2312" w:hAnsi="仿宋_GB2312" w:eastAsia="仿宋_GB2312" w:cs="仿宋_GB2312"/>
          <w:b/>
          <w:bCs/>
          <w:color w:val="auto"/>
          <w:kern w:val="2"/>
          <w:sz w:val="32"/>
          <w:szCs w:val="32"/>
        </w:rPr>
        <w:t>（1）教学用房</w:t>
      </w:r>
    </w:p>
    <w:p>
      <w:pPr>
        <w:pStyle w:val="12"/>
        <w:pageBreakBefore w:val="0"/>
        <w:widowControl w:val="0"/>
        <w:kinsoku/>
        <w:wordWrap/>
        <w:overflowPunct/>
        <w:topLinePunct w:val="0"/>
        <w:bidi w:val="0"/>
        <w:adjustRightInd w:val="0"/>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bCs/>
          <w:color w:val="auto"/>
          <w:kern w:val="2"/>
          <w:sz w:val="32"/>
          <w:szCs w:val="32"/>
          <w:lang w:eastAsia="zh-CN"/>
        </w:rPr>
      </w:pPr>
      <w:r>
        <w:rPr>
          <w:rFonts w:hint="eastAsia" w:ascii="仿宋_GB2312" w:hAnsi="仿宋_GB2312" w:eastAsia="仿宋_GB2312" w:cs="仿宋_GB2312"/>
          <w:sz w:val="32"/>
          <w:szCs w:val="32"/>
          <w:lang w:eastAsia="zh-CN"/>
        </w:rPr>
        <w:t>学校</w:t>
      </w:r>
      <w:r>
        <w:rPr>
          <w:rFonts w:hint="eastAsia" w:ascii="仿宋_GB2312" w:hAnsi="仿宋_GB2312" w:eastAsia="仿宋_GB2312" w:cs="仿宋_GB2312"/>
          <w:sz w:val="32"/>
          <w:szCs w:val="32"/>
        </w:rPr>
        <w:t>总占地面积980,544.85</w:t>
      </w:r>
      <w:r>
        <w:rPr>
          <w:rFonts w:hint="eastAsia" w:ascii="仿宋_GB2312" w:hAnsi="仿宋_GB2312" w:eastAsia="仿宋_GB2312" w:cs="仿宋_GB2312"/>
          <w:sz w:val="32"/>
          <w:szCs w:val="32"/>
          <w:lang w:eastAsia="zh-CN"/>
        </w:rPr>
        <w:t>平方米，校舍总建筑面积375，840.68平方米，教学科研及辅助用房面积169，746.3平方米，其中</w:t>
      </w:r>
      <w:r>
        <w:rPr>
          <w:rFonts w:hint="eastAsia" w:ascii="仿宋_GB2312" w:hAnsi="仿宋_GB2312" w:eastAsia="仿宋_GB2312" w:cs="仿宋_GB2312"/>
          <w:sz w:val="32"/>
          <w:szCs w:val="32"/>
        </w:rPr>
        <w:t>教室面积58295.72</w:t>
      </w:r>
      <w:r>
        <w:rPr>
          <w:rFonts w:hint="eastAsia" w:ascii="仿宋_GB2312" w:hAnsi="仿宋_GB2312" w:eastAsia="仿宋_GB2312" w:cs="仿宋_GB2312"/>
          <w:sz w:val="32"/>
          <w:szCs w:val="32"/>
          <w:lang w:eastAsia="zh-CN"/>
        </w:rPr>
        <w:t>平方米、</w:t>
      </w:r>
      <w:r>
        <w:rPr>
          <w:rFonts w:hint="eastAsia" w:ascii="仿宋_GB2312" w:hAnsi="仿宋_GB2312" w:eastAsia="仿宋_GB2312" w:cs="仿宋_GB2312"/>
          <w:sz w:val="32"/>
          <w:szCs w:val="32"/>
        </w:rPr>
        <w:t>图书馆</w:t>
      </w:r>
      <w:r>
        <w:rPr>
          <w:rFonts w:hint="eastAsia" w:ascii="仿宋_GB2312" w:hAnsi="仿宋_GB2312" w:eastAsia="仿宋_GB2312" w:cs="仿宋_GB2312"/>
          <w:sz w:val="32"/>
          <w:szCs w:val="32"/>
          <w:lang w:eastAsia="zh-CN"/>
        </w:rPr>
        <w:t>面积21096.55平方米、</w:t>
      </w:r>
      <w:r>
        <w:rPr>
          <w:rFonts w:hint="eastAsia" w:ascii="仿宋_GB2312" w:hAnsi="仿宋_GB2312" w:eastAsia="仿宋_GB2312" w:cs="仿宋_GB2312"/>
          <w:sz w:val="32"/>
          <w:szCs w:val="32"/>
        </w:rPr>
        <w:t>实验实习场所62711.46</w:t>
      </w:r>
      <w:r>
        <w:rPr>
          <w:rFonts w:hint="eastAsia" w:ascii="仿宋_GB2312" w:hAnsi="仿宋_GB2312" w:eastAsia="仿宋_GB2312" w:cs="仿宋_GB2312"/>
          <w:sz w:val="32"/>
          <w:szCs w:val="32"/>
          <w:lang w:eastAsia="zh-CN"/>
        </w:rPr>
        <w:t>平方米、</w:t>
      </w:r>
      <w:r>
        <w:rPr>
          <w:rFonts w:hint="eastAsia" w:ascii="仿宋_GB2312" w:hAnsi="仿宋_GB2312" w:eastAsia="仿宋_GB2312" w:cs="仿宋_GB2312"/>
          <w:sz w:val="32"/>
          <w:szCs w:val="32"/>
        </w:rPr>
        <w:t>专用科研用房13051.53</w:t>
      </w:r>
      <w:r>
        <w:rPr>
          <w:rFonts w:hint="eastAsia" w:ascii="仿宋_GB2312" w:hAnsi="仿宋_GB2312" w:eastAsia="仿宋_GB2312" w:cs="仿宋_GB2312"/>
          <w:sz w:val="32"/>
          <w:szCs w:val="32"/>
          <w:lang w:eastAsia="zh-CN"/>
        </w:rPr>
        <w:t>平方米</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学校</w:t>
      </w:r>
      <w:r>
        <w:rPr>
          <w:rFonts w:hint="eastAsia" w:ascii="仿宋_GB2312" w:hAnsi="仿宋_GB2312" w:eastAsia="仿宋_GB2312" w:cs="仿宋_GB2312"/>
          <w:sz w:val="32"/>
          <w:szCs w:val="32"/>
        </w:rPr>
        <w:t>生均占地面积为</w:t>
      </w:r>
      <w:r>
        <w:rPr>
          <w:rFonts w:hint="eastAsia" w:ascii="仿宋_GB2312" w:hAnsi="仿宋_GB2312" w:eastAsia="仿宋_GB2312" w:cs="仿宋_GB2312"/>
          <w:i w:val="0"/>
          <w:caps w:val="0"/>
          <w:color w:val="000000"/>
          <w:spacing w:val="0"/>
          <w:sz w:val="32"/>
          <w:szCs w:val="32"/>
          <w:shd w:val="clear" w:fill="FFFFFF"/>
        </w:rPr>
        <w:t>55.49</w:t>
      </w:r>
      <w:r>
        <w:rPr>
          <w:rFonts w:hint="eastAsia" w:ascii="仿宋_GB2312" w:hAnsi="仿宋_GB2312" w:eastAsia="仿宋_GB2312" w:cs="仿宋_GB2312"/>
          <w:sz w:val="32"/>
          <w:szCs w:val="32"/>
        </w:rPr>
        <w:t>平方米，生均教学行政用房面积为</w:t>
      </w:r>
      <w:r>
        <w:rPr>
          <w:rFonts w:hint="eastAsia" w:ascii="仿宋_GB2312" w:hAnsi="仿宋_GB2312" w:eastAsia="仿宋_GB2312" w:cs="仿宋_GB2312"/>
          <w:i w:val="0"/>
          <w:caps w:val="0"/>
          <w:color w:val="000000"/>
          <w:spacing w:val="0"/>
          <w:sz w:val="32"/>
          <w:szCs w:val="32"/>
          <w:shd w:val="clear" w:fill="FFFFFF"/>
        </w:rPr>
        <w:t>11.65</w:t>
      </w:r>
      <w:r>
        <w:rPr>
          <w:rFonts w:hint="eastAsia" w:ascii="仿宋_GB2312" w:hAnsi="仿宋_GB2312" w:eastAsia="仿宋_GB2312" w:cs="仿宋_GB2312"/>
          <w:sz w:val="32"/>
          <w:szCs w:val="32"/>
        </w:rPr>
        <w:t>平方米，</w:t>
      </w:r>
      <w:r>
        <w:rPr>
          <w:rFonts w:hint="eastAsia" w:ascii="仿宋_GB2312" w:hAnsi="仿宋_GB2312" w:eastAsia="仿宋_GB2312" w:cs="仿宋_GB2312"/>
          <w:sz w:val="32"/>
          <w:szCs w:val="32"/>
          <w:lang w:eastAsia="zh-CN"/>
        </w:rPr>
        <w:t>生均宿舍面积</w:t>
      </w:r>
      <w:r>
        <w:rPr>
          <w:rFonts w:hint="eastAsia" w:ascii="仿宋_GB2312" w:hAnsi="仿宋_GB2312" w:eastAsia="仿宋_GB2312" w:cs="仿宋_GB2312"/>
          <w:i w:val="0"/>
          <w:caps w:val="0"/>
          <w:color w:val="000000"/>
          <w:spacing w:val="0"/>
          <w:sz w:val="32"/>
          <w:szCs w:val="32"/>
          <w:shd w:val="clear" w:fill="FFFFFF"/>
        </w:rPr>
        <w:t>6.86</w:t>
      </w:r>
      <w:r>
        <w:rPr>
          <w:rFonts w:hint="eastAsia" w:ascii="仿宋_GB2312" w:hAnsi="仿宋_GB2312" w:eastAsia="仿宋_GB2312" w:cs="仿宋_GB2312"/>
          <w:sz w:val="32"/>
          <w:szCs w:val="32"/>
        </w:rPr>
        <w:t>平方米。</w:t>
      </w:r>
    </w:p>
    <w:p>
      <w:pPr>
        <w:pStyle w:val="12"/>
        <w:pageBreakBefore w:val="0"/>
        <w:widowControl w:val="0"/>
        <w:numPr>
          <w:ilvl w:val="0"/>
          <w:numId w:val="0"/>
        </w:numPr>
        <w:kinsoku/>
        <w:wordWrap/>
        <w:overflowPunct/>
        <w:topLinePunct w:val="0"/>
        <w:bidi w:val="0"/>
        <w:adjustRightInd w:val="0"/>
        <w:spacing w:before="0" w:beforeAutospacing="0" w:after="0" w:afterAutospacing="0" w:line="560" w:lineRule="exact"/>
        <w:ind w:right="0" w:rightChars="0" w:firstLine="321" w:firstLineChars="100"/>
        <w:jc w:val="both"/>
        <w:textAlignment w:val="auto"/>
        <w:rPr>
          <w:rFonts w:hint="eastAsia" w:ascii="仿宋_GB2312" w:hAnsi="仿宋_GB2312" w:eastAsia="仿宋_GB2312" w:cs="仿宋_GB2312"/>
          <w:b w:val="0"/>
          <w:bCs w:val="0"/>
          <w:color w:val="auto"/>
          <w:kern w:val="2"/>
          <w:sz w:val="32"/>
          <w:szCs w:val="32"/>
        </w:rPr>
      </w:pPr>
      <w:r>
        <w:rPr>
          <w:rFonts w:hint="eastAsia" w:ascii="仿宋_GB2312" w:hAnsi="仿宋_GB2312" w:eastAsia="仿宋_GB2312" w:cs="仿宋_GB2312"/>
          <w:b/>
          <w:bCs/>
          <w:color w:val="auto"/>
          <w:kern w:val="2"/>
          <w:sz w:val="32"/>
          <w:szCs w:val="32"/>
          <w:lang w:eastAsia="zh-CN"/>
        </w:rPr>
        <w:t>（</w:t>
      </w:r>
      <w:r>
        <w:rPr>
          <w:rFonts w:hint="eastAsia" w:ascii="仿宋_GB2312" w:hAnsi="仿宋_GB2312" w:eastAsia="仿宋_GB2312" w:cs="仿宋_GB2312"/>
          <w:b/>
          <w:bCs/>
          <w:color w:val="auto"/>
          <w:kern w:val="2"/>
          <w:sz w:val="32"/>
          <w:szCs w:val="32"/>
          <w:lang w:val="en-US" w:eastAsia="zh-CN"/>
        </w:rPr>
        <w:t>2</w:t>
      </w:r>
      <w:r>
        <w:rPr>
          <w:rFonts w:hint="eastAsia" w:ascii="仿宋_GB2312" w:hAnsi="仿宋_GB2312" w:eastAsia="仿宋_GB2312" w:cs="仿宋_GB2312"/>
          <w:b/>
          <w:bCs/>
          <w:color w:val="auto"/>
          <w:kern w:val="2"/>
          <w:sz w:val="32"/>
          <w:szCs w:val="32"/>
          <w:lang w:eastAsia="zh-CN"/>
        </w:rPr>
        <w:t>）</w:t>
      </w:r>
      <w:r>
        <w:rPr>
          <w:rFonts w:hint="eastAsia" w:ascii="仿宋_GB2312" w:hAnsi="仿宋_GB2312" w:eastAsia="仿宋_GB2312" w:cs="仿宋_GB2312"/>
          <w:b/>
          <w:bCs/>
          <w:color w:val="auto"/>
          <w:kern w:val="2"/>
          <w:sz w:val="32"/>
          <w:szCs w:val="32"/>
        </w:rPr>
        <w:t>图书资源</w:t>
      </w:r>
    </w:p>
    <w:p>
      <w:pPr>
        <w:pageBreakBefore w:val="0"/>
        <w:widowControl/>
        <w:kinsoku/>
        <w:wordWrap/>
        <w:overflowPunct/>
        <w:topLinePunct w:val="0"/>
        <w:bidi w:val="0"/>
        <w:spacing w:line="560" w:lineRule="exact"/>
        <w:ind w:firstLine="640"/>
        <w:jc w:val="left"/>
        <w:textAlignment w:val="auto"/>
        <w:rPr>
          <w:rFonts w:hint="eastAsia" w:ascii="仿宋_GB2312" w:hAnsi="仿宋_GB2312" w:eastAsia="仿宋_GB2312" w:cs="仿宋_GB2312"/>
          <w:b/>
          <w:bCs/>
          <w:color w:val="auto"/>
          <w:kern w:val="2"/>
          <w:sz w:val="32"/>
          <w:szCs w:val="32"/>
          <w:lang w:eastAsia="zh-CN"/>
        </w:rPr>
      </w:pPr>
      <w:r>
        <w:rPr>
          <w:rFonts w:hint="eastAsia" w:ascii="仿宋_GB2312" w:hAnsi="仿宋_GB2312" w:eastAsia="仿宋_GB2312" w:cs="仿宋_GB2312"/>
          <w:kern w:val="0"/>
          <w:sz w:val="32"/>
          <w:szCs w:val="32"/>
        </w:rPr>
        <w:t>目前，生均纸质图书</w:t>
      </w:r>
      <w:r>
        <w:rPr>
          <w:rFonts w:hint="eastAsia" w:ascii="仿宋_GB2312" w:hAnsi="仿宋_GB2312" w:eastAsia="仿宋_GB2312" w:cs="仿宋_GB2312"/>
          <w:kern w:val="0"/>
          <w:sz w:val="32"/>
          <w:szCs w:val="32"/>
          <w:lang w:val="en-US" w:eastAsia="zh-CN"/>
        </w:rPr>
        <w:t>36.42</w:t>
      </w:r>
      <w:r>
        <w:rPr>
          <w:rFonts w:hint="eastAsia" w:ascii="仿宋_GB2312" w:hAnsi="仿宋_GB2312" w:eastAsia="仿宋_GB2312" w:cs="仿宋_GB2312"/>
          <w:kern w:val="0"/>
          <w:sz w:val="32"/>
          <w:szCs w:val="32"/>
        </w:rPr>
        <w:t>册，年均进书2.03册/生。馆藏电子图书总量116.65万册。专业期刊600种。图书馆的专业图书总量达到了37万册，占馆藏总量的60%。引进数据库资源4个：中国知网系列数据库、超星移动图书馆、万方标准数据库、百度文库。自建机构库1个，馆内电子资源总量3900GB。形成了以建筑类学科为主，各种载体互补的文献资源体系，为我校教学和科研提供了丰富的文献资源保障。开设24小时开放图书馆网络资源服务，所有阅览室的开放时间达到90小时/周以上。全年图书馆共计借还书刊6</w:t>
      </w:r>
      <w:r>
        <w:rPr>
          <w:rFonts w:hint="eastAsia" w:ascii="仿宋_GB2312" w:hAnsi="仿宋_GB2312" w:eastAsia="仿宋_GB2312" w:cs="仿宋_GB2312"/>
          <w:kern w:val="0"/>
          <w:sz w:val="32"/>
          <w:szCs w:val="32"/>
          <w:lang w:val="en-US" w:eastAsia="zh-CN"/>
        </w:rPr>
        <w:t>6000</w:t>
      </w:r>
      <w:r>
        <w:rPr>
          <w:rFonts w:hint="eastAsia" w:ascii="仿宋_GB2312" w:hAnsi="仿宋_GB2312" w:eastAsia="仿宋_GB2312" w:cs="仿宋_GB2312"/>
          <w:kern w:val="0"/>
          <w:sz w:val="32"/>
          <w:szCs w:val="32"/>
        </w:rPr>
        <w:t>册次，各阅览室接待读者人数达到11</w:t>
      </w:r>
      <w:r>
        <w:rPr>
          <w:rFonts w:hint="eastAsia" w:ascii="仿宋_GB2312" w:hAnsi="仿宋_GB2312" w:eastAsia="仿宋_GB2312" w:cs="仿宋_GB2312"/>
          <w:kern w:val="0"/>
          <w:sz w:val="32"/>
          <w:szCs w:val="32"/>
          <w:lang w:val="en-US" w:eastAsia="zh-CN"/>
        </w:rPr>
        <w:t>9000</w:t>
      </w:r>
      <w:r>
        <w:rPr>
          <w:rFonts w:hint="eastAsia" w:ascii="仿宋_GB2312" w:hAnsi="仿宋_GB2312" w:eastAsia="仿宋_GB2312" w:cs="仿宋_GB2312"/>
          <w:kern w:val="0"/>
          <w:sz w:val="32"/>
          <w:szCs w:val="32"/>
        </w:rPr>
        <w:t>人次，电子资源的下载量</w:t>
      </w:r>
      <w:r>
        <w:rPr>
          <w:rFonts w:hint="eastAsia" w:ascii="仿宋_GB2312" w:hAnsi="仿宋_GB2312" w:eastAsia="仿宋_GB2312" w:cs="仿宋_GB2312"/>
          <w:kern w:val="0"/>
          <w:sz w:val="32"/>
          <w:szCs w:val="32"/>
          <w:lang w:eastAsia="zh-CN"/>
        </w:rPr>
        <w:t>超</w:t>
      </w:r>
      <w:r>
        <w:rPr>
          <w:rFonts w:hint="eastAsia" w:ascii="仿宋_GB2312" w:hAnsi="仿宋_GB2312" w:eastAsia="仿宋_GB2312" w:cs="仿宋_GB2312"/>
          <w:kern w:val="0"/>
          <w:sz w:val="32"/>
          <w:szCs w:val="32"/>
          <w:lang w:val="en-US" w:eastAsia="zh-CN"/>
        </w:rPr>
        <w:t>40000</w:t>
      </w:r>
      <w:r>
        <w:rPr>
          <w:rFonts w:hint="eastAsia" w:ascii="仿宋_GB2312" w:hAnsi="仿宋_GB2312" w:eastAsia="仿宋_GB2312" w:cs="仿宋_GB2312"/>
          <w:kern w:val="0"/>
          <w:sz w:val="32"/>
          <w:szCs w:val="32"/>
        </w:rPr>
        <w:t>篇。</w:t>
      </w:r>
    </w:p>
    <w:p>
      <w:pPr>
        <w:pStyle w:val="12"/>
        <w:pageBreakBefore w:val="0"/>
        <w:widowControl w:val="0"/>
        <w:numPr>
          <w:ilvl w:val="0"/>
          <w:numId w:val="0"/>
        </w:numPr>
        <w:kinsoku/>
        <w:wordWrap/>
        <w:overflowPunct/>
        <w:topLinePunct w:val="0"/>
        <w:bidi w:val="0"/>
        <w:adjustRightInd w:val="0"/>
        <w:spacing w:before="0" w:beforeAutospacing="0" w:after="0" w:afterAutospacing="0" w:line="560" w:lineRule="exact"/>
        <w:ind w:right="0" w:rightChars="0" w:firstLine="321" w:firstLineChars="100"/>
        <w:jc w:val="both"/>
        <w:textAlignment w:val="auto"/>
        <w:rPr>
          <w:rFonts w:hint="eastAsia" w:ascii="仿宋_GB2312" w:hAnsi="仿宋_GB2312" w:eastAsia="仿宋_GB2312" w:cs="仿宋_GB2312"/>
          <w:b/>
          <w:bCs/>
          <w:color w:val="auto"/>
          <w:kern w:val="0"/>
          <w:sz w:val="32"/>
          <w:szCs w:val="32"/>
          <w:lang w:val="en-US" w:eastAsia="zh-CN" w:bidi="ar-SA"/>
        </w:rPr>
      </w:pPr>
      <w:r>
        <w:rPr>
          <w:rFonts w:hint="eastAsia" w:ascii="仿宋_GB2312" w:hAnsi="仿宋_GB2312" w:eastAsia="仿宋_GB2312" w:cs="仿宋_GB2312"/>
          <w:b/>
          <w:bCs/>
          <w:color w:val="auto"/>
          <w:kern w:val="2"/>
          <w:sz w:val="32"/>
          <w:szCs w:val="32"/>
          <w:lang w:eastAsia="zh-CN"/>
        </w:rPr>
        <w:t>（</w:t>
      </w:r>
      <w:r>
        <w:rPr>
          <w:rFonts w:hint="eastAsia" w:ascii="仿宋_GB2312" w:hAnsi="仿宋_GB2312" w:eastAsia="仿宋_GB2312" w:cs="仿宋_GB2312"/>
          <w:b/>
          <w:bCs/>
          <w:color w:val="auto"/>
          <w:kern w:val="2"/>
          <w:sz w:val="32"/>
          <w:szCs w:val="32"/>
          <w:lang w:val="en-US" w:eastAsia="zh-CN"/>
        </w:rPr>
        <w:t>3</w:t>
      </w:r>
      <w:r>
        <w:rPr>
          <w:rFonts w:hint="eastAsia" w:ascii="仿宋_GB2312" w:hAnsi="仿宋_GB2312" w:eastAsia="仿宋_GB2312" w:cs="仿宋_GB2312"/>
          <w:b/>
          <w:bCs/>
          <w:color w:val="auto"/>
          <w:kern w:val="2"/>
          <w:sz w:val="32"/>
          <w:szCs w:val="32"/>
          <w:lang w:eastAsia="zh-CN"/>
        </w:rPr>
        <w:t>）</w:t>
      </w:r>
      <w:r>
        <w:rPr>
          <w:rFonts w:hint="eastAsia" w:ascii="仿宋_GB2312" w:hAnsi="仿宋_GB2312" w:eastAsia="仿宋_GB2312" w:cs="仿宋_GB2312"/>
          <w:b/>
          <w:bCs/>
          <w:color w:val="auto"/>
          <w:kern w:val="2"/>
          <w:sz w:val="32"/>
          <w:szCs w:val="32"/>
        </w:rPr>
        <w:t>信息资源及其应用情况</w:t>
      </w:r>
    </w:p>
    <w:p>
      <w:pPr>
        <w:pageBreakBefore w:val="0"/>
        <w:widowControl/>
        <w:kinsoku/>
        <w:wordWrap/>
        <w:overflowPunct/>
        <w:topLinePunct w:val="0"/>
        <w:bidi w:val="0"/>
        <w:spacing w:line="560" w:lineRule="exact"/>
        <w:ind w:left="0" w:leftChars="0" w:right="0" w:rightChars="0" w:firstLine="480" w:firstLineChars="150"/>
        <w:jc w:val="left"/>
        <w:textAlignment w:val="auto"/>
        <w:rPr>
          <w:rFonts w:hint="eastAsia" w:ascii="仿宋_GB2312" w:hAnsi="仿宋_GB2312" w:eastAsia="仿宋_GB2312" w:cs="仿宋_GB2312"/>
          <w:b w:val="0"/>
          <w:bCs w:val="0"/>
          <w:color w:val="auto"/>
          <w:kern w:val="2"/>
          <w:sz w:val="32"/>
          <w:szCs w:val="32"/>
        </w:rPr>
      </w:pPr>
      <w:r>
        <w:rPr>
          <w:rFonts w:hint="eastAsia" w:ascii="仿宋_GB2312" w:hAnsi="仿宋_GB2312" w:eastAsia="仿宋_GB2312" w:cs="仿宋_GB2312"/>
          <w:kern w:val="0"/>
          <w:sz w:val="32"/>
          <w:szCs w:val="32"/>
        </w:rPr>
        <w:t>我校已建成高速稳定的新一代校园网，教学行政出口带宽达1500M，学生上网出口带宽达10G</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管理信息系统数据总量</w:t>
      </w:r>
      <w:r>
        <w:rPr>
          <w:rFonts w:hint="eastAsia" w:ascii="仿宋_GB2312" w:hAnsi="仿宋_GB2312" w:eastAsia="仿宋_GB2312" w:cs="仿宋_GB2312"/>
          <w:kern w:val="0"/>
          <w:sz w:val="32"/>
          <w:szCs w:val="32"/>
          <w:lang w:val="en-US" w:eastAsia="zh-CN"/>
        </w:rPr>
        <w:t>1500GB</w:t>
      </w:r>
      <w:r>
        <w:rPr>
          <w:rFonts w:hint="default"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全校共</w:t>
      </w:r>
      <w:r>
        <w:rPr>
          <w:rFonts w:hint="eastAsia" w:ascii="仿宋_GB2312" w:hAnsi="仿宋_GB2312" w:eastAsia="仿宋_GB2312" w:cs="仿宋_GB2312"/>
          <w:kern w:val="0"/>
          <w:sz w:val="32"/>
          <w:szCs w:val="32"/>
          <w:lang w:val="en-US" w:eastAsia="zh-CN"/>
        </w:rPr>
        <w:t>9500</w:t>
      </w:r>
      <w:r>
        <w:rPr>
          <w:rFonts w:hint="eastAsia" w:ascii="仿宋_GB2312" w:hAnsi="仿宋_GB2312" w:eastAsia="仿宋_GB2312" w:cs="仿宋_GB2312"/>
          <w:kern w:val="0"/>
          <w:sz w:val="32"/>
          <w:szCs w:val="32"/>
        </w:rPr>
        <w:t>个有线网络信息点，</w:t>
      </w:r>
      <w:r>
        <w:rPr>
          <w:rFonts w:hint="eastAsia" w:ascii="仿宋_GB2312" w:hAnsi="仿宋_GB2312" w:eastAsia="仿宋_GB2312" w:cs="仿宋_GB2312"/>
          <w:kern w:val="0"/>
          <w:sz w:val="32"/>
          <w:szCs w:val="32"/>
          <w:lang w:eastAsia="zh-CN"/>
        </w:rPr>
        <w:t>其中无线接口</w:t>
      </w:r>
      <w:r>
        <w:rPr>
          <w:rFonts w:hint="eastAsia" w:ascii="仿宋_GB2312" w:hAnsi="仿宋_GB2312" w:eastAsia="仿宋_GB2312" w:cs="仿宋_GB2312"/>
          <w:kern w:val="0"/>
          <w:sz w:val="32"/>
          <w:szCs w:val="32"/>
          <w:lang w:val="en-US" w:eastAsia="zh-CN"/>
        </w:rPr>
        <w:t>530个，</w:t>
      </w:r>
      <w:r>
        <w:rPr>
          <w:rFonts w:hint="eastAsia" w:ascii="仿宋_GB2312" w:hAnsi="仿宋_GB2312" w:eastAsia="仿宋_GB2312" w:cs="仿宋_GB2312"/>
          <w:kern w:val="0"/>
          <w:sz w:val="32"/>
          <w:szCs w:val="32"/>
        </w:rPr>
        <w:t>同时实现了对教学楼、实训楼、办公楼、会议室、运动场等主要场所无线覆盖</w:t>
      </w:r>
      <w:r>
        <w:rPr>
          <w:rFonts w:hint="default"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建有上网行为管理、防火墙、流量控制、日志审记、VPN等多种网络安全设施来保证网络的安全规划使用，已实现对信息系统的二级等级保护；业务系统丰富，建设了行政办公OA、教务、人事、财务、学工、图书馆、一卡通、科研、资产等业务管理系统，基本实现了无纸化办公。建成了数字校园平台，实现统一身份认证和统一数据库，初步消除数据孤岛和数据不一致。</w:t>
      </w:r>
    </w:p>
    <w:p>
      <w:pPr>
        <w:pStyle w:val="5"/>
        <w:pageBreakBefore w:val="0"/>
        <w:widowControl w:val="0"/>
        <w:kinsoku/>
        <w:wordWrap/>
        <w:overflowPunct/>
        <w:topLinePunct w:val="0"/>
        <w:autoSpaceDE/>
        <w:autoSpaceDN/>
        <w:bidi w:val="0"/>
        <w:snapToGrid/>
        <w:spacing w:line="0" w:lineRule="atLeast"/>
        <w:textAlignment w:val="auto"/>
        <w:rPr>
          <w:rFonts w:hint="eastAsia" w:ascii="仿宋_GB2312" w:hAnsi="仿宋_GB2312" w:eastAsia="仿宋_GB2312" w:cs="仿宋_GB2312"/>
        </w:rPr>
      </w:pPr>
      <w:bookmarkStart w:id="6" w:name="_Toc14268"/>
      <w:r>
        <w:rPr>
          <w:rFonts w:hint="eastAsia" w:ascii="仿宋_GB2312" w:hAnsi="仿宋_GB2312" w:eastAsia="仿宋_GB2312" w:cs="仿宋_GB2312"/>
        </w:rPr>
        <w:t>2.实践教学条件</w:t>
      </w:r>
      <w:bookmarkEnd w:id="6"/>
    </w:p>
    <w:p>
      <w:pPr>
        <w:pStyle w:val="12"/>
        <w:pageBreakBefore w:val="0"/>
        <w:widowControl w:val="0"/>
        <w:kinsoku/>
        <w:wordWrap/>
        <w:overflowPunct/>
        <w:topLinePunct w:val="0"/>
        <w:autoSpaceDE/>
        <w:autoSpaceDN/>
        <w:bidi w:val="0"/>
        <w:adjustRightInd w:val="0"/>
        <w:snapToGrid/>
        <w:spacing w:before="0" w:beforeAutospacing="0" w:after="0" w:afterAutospacing="0" w:line="0" w:lineRule="atLeast"/>
        <w:ind w:right="0" w:rightChars="0" w:firstLine="321" w:firstLineChars="1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kern w:val="2"/>
          <w:sz w:val="32"/>
          <w:szCs w:val="32"/>
          <w:highlight w:val="none"/>
          <w:lang w:eastAsia="zh-CN"/>
        </w:rPr>
        <w:t>（</w:t>
      </w:r>
      <w:r>
        <w:rPr>
          <w:rFonts w:hint="eastAsia" w:ascii="仿宋_GB2312" w:hAnsi="仿宋_GB2312" w:eastAsia="仿宋_GB2312" w:cs="仿宋_GB2312"/>
          <w:b/>
          <w:bCs/>
          <w:color w:val="auto"/>
          <w:kern w:val="2"/>
          <w:sz w:val="32"/>
          <w:szCs w:val="32"/>
          <w:highlight w:val="none"/>
          <w:lang w:val="en-US" w:eastAsia="zh-CN"/>
        </w:rPr>
        <w:t>1</w:t>
      </w:r>
      <w:r>
        <w:rPr>
          <w:rFonts w:hint="eastAsia" w:ascii="仿宋_GB2312" w:hAnsi="仿宋_GB2312" w:eastAsia="仿宋_GB2312" w:cs="仿宋_GB2312"/>
          <w:b/>
          <w:bCs/>
          <w:color w:val="auto"/>
          <w:kern w:val="2"/>
          <w:sz w:val="32"/>
          <w:szCs w:val="32"/>
          <w:highlight w:val="none"/>
          <w:lang w:eastAsia="zh-CN"/>
        </w:rPr>
        <w:t>）</w:t>
      </w:r>
      <w:r>
        <w:rPr>
          <w:rFonts w:hint="eastAsia" w:ascii="仿宋_GB2312" w:hAnsi="仿宋_GB2312" w:eastAsia="仿宋_GB2312" w:cs="仿宋_GB2312"/>
          <w:b/>
          <w:bCs/>
          <w:color w:val="auto"/>
          <w:kern w:val="2"/>
          <w:sz w:val="32"/>
          <w:szCs w:val="32"/>
          <w:highlight w:val="none"/>
        </w:rPr>
        <w:t>教学仪器设备</w:t>
      </w:r>
    </w:p>
    <w:p>
      <w:pPr>
        <w:pStyle w:val="12"/>
        <w:pageBreakBefore w:val="0"/>
        <w:widowControl w:val="0"/>
        <w:kinsoku/>
        <w:wordWrap/>
        <w:overflowPunct/>
        <w:topLinePunct w:val="0"/>
        <w:bidi w:val="0"/>
        <w:adjustRightInd w:val="0"/>
        <w:spacing w:before="0" w:beforeAutospacing="0" w:after="0" w:afterAutospacing="0" w:line="560" w:lineRule="exact"/>
        <w:ind w:right="0" w:rightChars="0"/>
        <w:jc w:val="both"/>
        <w:textAlignment w:val="auto"/>
        <w:rPr>
          <w:rFonts w:hint="eastAsia" w:ascii="仿宋_GB2312" w:hAnsi="仿宋_GB2312" w:eastAsia="仿宋_GB2312" w:cs="仿宋_GB2312"/>
          <w:b w:val="0"/>
          <w:bCs w:val="0"/>
          <w:color w:val="auto"/>
          <w:kern w:val="2"/>
          <w:sz w:val="32"/>
          <w:szCs w:val="32"/>
          <w:highlight w:val="none"/>
        </w:rPr>
      </w:pPr>
      <w:r>
        <w:rPr>
          <w:rFonts w:hint="eastAsia" w:ascii="仿宋_GB2312" w:hAnsi="仿宋_GB2312" w:eastAsia="仿宋_GB2312" w:cs="仿宋_GB2312"/>
          <w:b w:val="0"/>
          <w:bCs w:val="0"/>
          <w:color w:val="auto"/>
          <w:kern w:val="2"/>
          <w:sz w:val="32"/>
          <w:szCs w:val="32"/>
          <w:highlight w:val="none"/>
        </w:rPr>
        <w:t>　</w:t>
      </w:r>
      <w:r>
        <w:rPr>
          <w:rFonts w:hint="default" w:ascii="仿宋_GB2312" w:hAnsi="仿宋_GB2312" w:eastAsia="仿宋_GB2312" w:cs="仿宋_GB2312"/>
          <w:b w:val="0"/>
          <w:bCs w:val="0"/>
          <w:color w:val="auto"/>
          <w:kern w:val="2"/>
          <w:sz w:val="32"/>
          <w:szCs w:val="32"/>
          <w:highlight w:val="none"/>
        </w:rPr>
        <w:t xml:space="preserve"> </w:t>
      </w:r>
      <w:r>
        <w:rPr>
          <w:rFonts w:hint="eastAsia" w:ascii="仿宋_GB2312" w:hAnsi="仿宋_GB2312" w:eastAsia="仿宋_GB2312" w:cs="仿宋_GB2312"/>
          <w:b w:val="0"/>
          <w:bCs w:val="0"/>
          <w:color w:val="auto"/>
          <w:kern w:val="2"/>
          <w:sz w:val="32"/>
          <w:szCs w:val="32"/>
          <w:highlight w:val="none"/>
        </w:rPr>
        <w:t>截至20</w:t>
      </w:r>
      <w:r>
        <w:rPr>
          <w:rFonts w:hint="eastAsia" w:ascii="仿宋_GB2312" w:hAnsi="仿宋_GB2312" w:eastAsia="仿宋_GB2312" w:cs="仿宋_GB2312"/>
          <w:b w:val="0"/>
          <w:bCs w:val="0"/>
          <w:color w:val="auto"/>
          <w:kern w:val="2"/>
          <w:sz w:val="32"/>
          <w:szCs w:val="32"/>
          <w:highlight w:val="none"/>
          <w:lang w:val="en-US" w:eastAsia="zh-CN"/>
        </w:rPr>
        <w:t>20</w:t>
      </w:r>
      <w:r>
        <w:rPr>
          <w:rFonts w:hint="eastAsia" w:ascii="仿宋_GB2312" w:hAnsi="仿宋_GB2312" w:eastAsia="仿宋_GB2312" w:cs="仿宋_GB2312"/>
          <w:b w:val="0"/>
          <w:bCs w:val="0"/>
          <w:color w:val="auto"/>
          <w:kern w:val="2"/>
          <w:sz w:val="32"/>
          <w:szCs w:val="32"/>
          <w:highlight w:val="none"/>
        </w:rPr>
        <w:t>年8月31日，我校教学科研仪器设备价值</w:t>
      </w:r>
      <w:r>
        <w:rPr>
          <w:rFonts w:hint="eastAsia" w:ascii="仿宋_GB2312" w:hAnsi="仿宋_GB2312" w:eastAsia="仿宋_GB2312" w:cs="仿宋_GB2312"/>
          <w:b w:val="0"/>
          <w:bCs w:val="0"/>
          <w:color w:val="auto"/>
          <w:kern w:val="2"/>
          <w:sz w:val="32"/>
          <w:szCs w:val="32"/>
          <w:highlight w:val="none"/>
          <w:lang w:val="en-US" w:eastAsia="zh-CN"/>
        </w:rPr>
        <w:t>16775.97</w:t>
      </w:r>
      <w:r>
        <w:rPr>
          <w:rFonts w:hint="eastAsia" w:ascii="仿宋_GB2312" w:hAnsi="仿宋_GB2312" w:eastAsia="仿宋_GB2312" w:cs="仿宋_GB2312"/>
          <w:b w:val="0"/>
          <w:bCs w:val="0"/>
          <w:color w:val="auto"/>
          <w:kern w:val="2"/>
          <w:sz w:val="32"/>
          <w:szCs w:val="32"/>
          <w:highlight w:val="none"/>
        </w:rPr>
        <w:t>万元，生均教学科研仪器设备值</w:t>
      </w:r>
      <w:r>
        <w:rPr>
          <w:rFonts w:hint="eastAsia" w:ascii="仿宋_GB2312" w:hAnsi="仿宋_GB2312" w:eastAsia="仿宋_GB2312" w:cs="仿宋_GB2312"/>
          <w:b w:val="0"/>
          <w:bCs w:val="0"/>
          <w:color w:val="auto"/>
          <w:kern w:val="2"/>
          <w:sz w:val="32"/>
          <w:szCs w:val="32"/>
          <w:highlight w:val="none"/>
          <w:lang w:val="en-US" w:eastAsia="zh-CN"/>
        </w:rPr>
        <w:t>9465.44</w:t>
      </w:r>
      <w:r>
        <w:rPr>
          <w:rFonts w:hint="eastAsia" w:ascii="仿宋_GB2312" w:hAnsi="仿宋_GB2312" w:eastAsia="仿宋_GB2312" w:cs="仿宋_GB2312"/>
          <w:b w:val="0"/>
          <w:bCs w:val="0"/>
          <w:color w:val="auto"/>
          <w:kern w:val="2"/>
          <w:sz w:val="32"/>
          <w:szCs w:val="32"/>
          <w:highlight w:val="none"/>
        </w:rPr>
        <w:t>元。201</w:t>
      </w:r>
      <w:r>
        <w:rPr>
          <w:rFonts w:hint="eastAsia" w:ascii="仿宋_GB2312" w:hAnsi="仿宋_GB2312" w:eastAsia="仿宋_GB2312" w:cs="仿宋_GB2312"/>
          <w:b w:val="0"/>
          <w:bCs w:val="0"/>
          <w:color w:val="auto"/>
          <w:kern w:val="2"/>
          <w:sz w:val="32"/>
          <w:szCs w:val="32"/>
          <w:highlight w:val="none"/>
          <w:lang w:val="en-US" w:eastAsia="zh-CN"/>
        </w:rPr>
        <w:t>9</w:t>
      </w:r>
      <w:r>
        <w:rPr>
          <w:rFonts w:hint="eastAsia" w:ascii="仿宋_GB2312" w:hAnsi="仿宋_GB2312" w:eastAsia="仿宋_GB2312" w:cs="仿宋_GB2312"/>
          <w:b w:val="0"/>
          <w:bCs w:val="0"/>
          <w:color w:val="auto"/>
          <w:kern w:val="2"/>
          <w:sz w:val="32"/>
          <w:szCs w:val="32"/>
          <w:highlight w:val="none"/>
        </w:rPr>
        <w:t>-20</w:t>
      </w:r>
      <w:r>
        <w:rPr>
          <w:rFonts w:hint="eastAsia" w:ascii="仿宋_GB2312" w:hAnsi="仿宋_GB2312" w:eastAsia="仿宋_GB2312" w:cs="仿宋_GB2312"/>
          <w:b w:val="0"/>
          <w:bCs w:val="0"/>
          <w:color w:val="auto"/>
          <w:kern w:val="2"/>
          <w:sz w:val="32"/>
          <w:szCs w:val="32"/>
          <w:highlight w:val="none"/>
          <w:lang w:val="en-US" w:eastAsia="zh-CN"/>
        </w:rPr>
        <w:t>20</w:t>
      </w:r>
      <w:r>
        <w:rPr>
          <w:rFonts w:hint="eastAsia" w:ascii="仿宋_GB2312" w:hAnsi="仿宋_GB2312" w:eastAsia="仿宋_GB2312" w:cs="仿宋_GB2312"/>
          <w:b w:val="0"/>
          <w:bCs w:val="0"/>
          <w:color w:val="auto"/>
          <w:kern w:val="2"/>
          <w:sz w:val="32"/>
          <w:szCs w:val="32"/>
          <w:highlight w:val="none"/>
        </w:rPr>
        <w:t>学年新增教学科研仪器设备值2009.43万元。</w:t>
      </w:r>
    </w:p>
    <w:p>
      <w:pPr>
        <w:pStyle w:val="12"/>
        <w:pageBreakBefore w:val="0"/>
        <w:widowControl w:val="0"/>
        <w:kinsoku/>
        <w:wordWrap/>
        <w:overflowPunct/>
        <w:topLinePunct w:val="0"/>
        <w:bidi w:val="0"/>
        <w:adjustRightInd w:val="0"/>
        <w:spacing w:before="0" w:beforeAutospacing="0" w:after="0" w:afterAutospacing="0" w:line="560" w:lineRule="exact"/>
        <w:ind w:right="0" w:rightChars="0" w:firstLine="321" w:firstLineChars="10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kern w:val="2"/>
          <w:sz w:val="32"/>
          <w:szCs w:val="32"/>
          <w:lang w:eastAsia="zh-CN"/>
        </w:rPr>
        <w:t>（</w:t>
      </w:r>
      <w:r>
        <w:rPr>
          <w:rFonts w:hint="eastAsia" w:ascii="仿宋_GB2312" w:hAnsi="仿宋_GB2312" w:eastAsia="仿宋_GB2312" w:cs="仿宋_GB2312"/>
          <w:b/>
          <w:bCs/>
          <w:color w:val="auto"/>
          <w:kern w:val="2"/>
          <w:sz w:val="32"/>
          <w:szCs w:val="32"/>
          <w:lang w:val="en-US" w:eastAsia="zh-CN"/>
        </w:rPr>
        <w:t>2</w:t>
      </w:r>
      <w:r>
        <w:rPr>
          <w:rFonts w:hint="eastAsia" w:ascii="仿宋_GB2312" w:hAnsi="仿宋_GB2312" w:eastAsia="仿宋_GB2312" w:cs="仿宋_GB2312"/>
          <w:b/>
          <w:bCs/>
          <w:color w:val="auto"/>
          <w:kern w:val="2"/>
          <w:sz w:val="32"/>
          <w:szCs w:val="32"/>
          <w:lang w:eastAsia="zh-CN"/>
        </w:rPr>
        <w:t>）</w:t>
      </w:r>
      <w:r>
        <w:rPr>
          <w:rFonts w:hint="eastAsia" w:ascii="仿宋_GB2312" w:hAnsi="仿宋_GB2312" w:eastAsia="仿宋_GB2312" w:cs="仿宋_GB2312"/>
          <w:b/>
          <w:bCs/>
          <w:color w:val="auto"/>
          <w:kern w:val="2"/>
          <w:sz w:val="32"/>
          <w:szCs w:val="32"/>
        </w:rPr>
        <w:t>校内</w:t>
      </w:r>
      <w:r>
        <w:rPr>
          <w:rFonts w:hint="eastAsia" w:ascii="仿宋_GB2312" w:hAnsi="仿宋_GB2312" w:eastAsia="仿宋_GB2312" w:cs="仿宋_GB2312"/>
          <w:b/>
          <w:bCs/>
          <w:color w:val="auto"/>
          <w:kern w:val="2"/>
          <w:sz w:val="32"/>
          <w:szCs w:val="32"/>
          <w:lang w:eastAsia="zh-CN"/>
        </w:rPr>
        <w:t>外</w:t>
      </w:r>
      <w:r>
        <w:rPr>
          <w:rFonts w:hint="eastAsia" w:ascii="仿宋_GB2312" w:hAnsi="仿宋_GB2312" w:eastAsia="仿宋_GB2312" w:cs="仿宋_GB2312"/>
          <w:b/>
          <w:bCs/>
          <w:color w:val="auto"/>
          <w:kern w:val="2"/>
          <w:sz w:val="32"/>
          <w:szCs w:val="32"/>
        </w:rPr>
        <w:t>实训基地</w:t>
      </w:r>
    </w:p>
    <w:p>
      <w:pPr>
        <w:pageBreakBefore w:val="0"/>
        <w:kinsoku/>
        <w:wordWrap/>
        <w:overflowPunct/>
        <w:topLinePunct w:val="0"/>
        <w:bidi w:val="0"/>
        <w:spacing w:line="560" w:lineRule="exact"/>
        <w:ind w:right="0" w:rightChars="0"/>
        <w:textAlignment w:val="auto"/>
        <w:rPr>
          <w:rFonts w:hint="eastAsia" w:ascii="仿宋_GB2312" w:hAnsi="仿宋_GB2312" w:eastAsia="仿宋_GB2312" w:cs="仿宋_GB2312"/>
          <w:b w:val="0"/>
          <w:bCs w:val="0"/>
          <w:color w:val="auto"/>
          <w:kern w:val="2"/>
          <w:sz w:val="32"/>
          <w:szCs w:val="32"/>
          <w:lang w:eastAsia="zh-CN"/>
        </w:rPr>
      </w:pPr>
      <w:r>
        <w:rPr>
          <w:rFonts w:hint="eastAsia" w:ascii="仿宋_GB2312" w:hAnsi="仿宋_GB2312" w:eastAsia="仿宋_GB2312" w:cs="仿宋_GB2312"/>
          <w:color w:val="auto"/>
          <w:sz w:val="32"/>
          <w:szCs w:val="32"/>
          <w:highlight w:val="none"/>
        </w:rPr>
        <w:t>我校建有两栋20层的实训大楼、</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座实训大棚（包括</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座风雨棚）和1个建筑材料检测综合实训大棚，其中包括国家级实训基地</w:t>
      </w:r>
      <w:r>
        <w:rPr>
          <w:rFonts w:hint="eastAsia" w:ascii="仿宋_GB2312" w:hAnsi="仿宋_GB2312" w:eastAsia="仿宋_GB2312" w:cs="仿宋_GB2312"/>
          <w:color w:val="auto"/>
          <w:sz w:val="32"/>
          <w:szCs w:val="32"/>
          <w:highlight w:val="none"/>
          <w:lang w:val="en-US" w:eastAsia="zh-CN"/>
        </w:rPr>
        <w:t>11</w:t>
      </w:r>
      <w:r>
        <w:rPr>
          <w:rFonts w:hint="eastAsia" w:ascii="仿宋_GB2312" w:hAnsi="仿宋_GB2312" w:eastAsia="仿宋_GB2312" w:cs="仿宋_GB2312"/>
          <w:color w:val="auto"/>
          <w:sz w:val="32"/>
          <w:szCs w:val="32"/>
          <w:highlight w:val="none"/>
        </w:rPr>
        <w:t>个，自治区级示范性实训基地8个。校内实验实训室</w:t>
      </w:r>
      <w:r>
        <w:rPr>
          <w:rFonts w:hint="eastAsia" w:ascii="仿宋_GB2312" w:hAnsi="仿宋_GB2312" w:eastAsia="仿宋_GB2312" w:cs="仿宋_GB2312"/>
          <w:color w:val="auto"/>
          <w:sz w:val="32"/>
          <w:szCs w:val="32"/>
          <w:highlight w:val="none"/>
          <w:lang w:val="en-US" w:eastAsia="zh-CN"/>
        </w:rPr>
        <w:t>217</w:t>
      </w:r>
      <w:r>
        <w:rPr>
          <w:rFonts w:hint="eastAsia" w:ascii="仿宋_GB2312" w:hAnsi="仿宋_GB2312" w:eastAsia="仿宋_GB2312" w:cs="仿宋_GB2312"/>
          <w:color w:val="auto"/>
          <w:sz w:val="32"/>
          <w:szCs w:val="32"/>
          <w:highlight w:val="none"/>
        </w:rPr>
        <w:t>间，其中，理实一体化实训室65间</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覆盖全部专业课程。此外，开展职业技能鉴定的实训项目11个，有11个校企合作实训室（基地）作为生产性实训基地对外承接业务。20</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年，我校对</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7个实训室通过设备补充和购置并进行了扩建，同时新建了</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个实训室。</w:t>
      </w:r>
    </w:p>
    <w:p>
      <w:pPr>
        <w:pStyle w:val="12"/>
        <w:pageBreakBefore w:val="0"/>
        <w:widowControl w:val="0"/>
        <w:kinsoku/>
        <w:wordWrap/>
        <w:overflowPunct/>
        <w:topLinePunct w:val="0"/>
        <w:autoSpaceDE/>
        <w:autoSpaceDN/>
        <w:bidi w:val="0"/>
        <w:adjustRightInd w:val="0"/>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color w:val="auto"/>
          <w:kern w:val="2"/>
          <w:sz w:val="32"/>
          <w:szCs w:val="32"/>
          <w:lang w:eastAsia="zh-CN"/>
        </w:rPr>
      </w:pPr>
      <w:r>
        <w:rPr>
          <w:rFonts w:hint="eastAsia" w:ascii="仿宋_GB2312" w:hAnsi="仿宋_GB2312" w:eastAsia="仿宋_GB2312" w:cs="仿宋_GB2312"/>
          <w:color w:val="000000"/>
          <w:kern w:val="2"/>
          <w:sz w:val="32"/>
          <w:szCs w:val="32"/>
        </w:rPr>
        <w:t>目前，我校建有稳定的校外学习基地218个，基本满足各专业学生实习的教学需要。</w:t>
      </w:r>
    </w:p>
    <w:p>
      <w:pPr>
        <w:pStyle w:val="4"/>
        <w:keepNext/>
        <w:keepLines/>
        <w:pageBreakBefore w:val="0"/>
        <w:widowControl w:val="0"/>
        <w:numPr>
          <w:ilvl w:val="0"/>
          <w:numId w:val="0"/>
        </w:numPr>
        <w:kinsoku/>
        <w:wordWrap/>
        <w:overflowPunct/>
        <w:topLinePunct w:val="0"/>
        <w:autoSpaceDE/>
        <w:autoSpaceDN/>
        <w:bidi w:val="0"/>
        <w:adjustRightInd/>
        <w:snapToGrid/>
        <w:spacing w:line="560" w:lineRule="exact"/>
        <w:ind w:right="0" w:rightChars="0" w:firstLine="321" w:firstLineChars="100"/>
        <w:textAlignment w:val="auto"/>
        <w:rPr>
          <w:rFonts w:hint="eastAsia" w:ascii="楷体_GB2312" w:hAnsi="楷体_GB2312" w:eastAsia="楷体_GB2312" w:cs="楷体_GB2312"/>
          <w:b/>
          <w:bCs/>
          <w:color w:val="auto"/>
          <w:sz w:val="32"/>
          <w:szCs w:val="32"/>
        </w:rPr>
      </w:pPr>
      <w:bookmarkStart w:id="7" w:name="_Toc14136"/>
      <w:bookmarkStart w:id="8" w:name="_Toc437380297"/>
      <w:bookmarkStart w:id="9" w:name="_Toc14409"/>
      <w:r>
        <w:rPr>
          <w:rFonts w:hint="eastAsia" w:ascii="楷体_GB2312" w:hAnsi="楷体_GB2312" w:eastAsia="楷体_GB2312" w:cs="楷体_GB2312"/>
          <w:b/>
          <w:bCs/>
          <w:color w:val="auto"/>
          <w:sz w:val="32"/>
          <w:szCs w:val="32"/>
          <w:lang w:eastAsia="zh-CN"/>
        </w:rPr>
        <w:t>（二）</w:t>
      </w:r>
      <w:r>
        <w:rPr>
          <w:rFonts w:hint="eastAsia" w:ascii="楷体_GB2312" w:hAnsi="楷体_GB2312" w:eastAsia="楷体_GB2312" w:cs="楷体_GB2312"/>
          <w:b/>
          <w:bCs/>
          <w:color w:val="auto"/>
          <w:sz w:val="32"/>
          <w:szCs w:val="32"/>
        </w:rPr>
        <w:t>专业建设</w:t>
      </w:r>
      <w:bookmarkEnd w:id="7"/>
      <w:bookmarkEnd w:id="8"/>
      <w:bookmarkEnd w:id="9"/>
    </w:p>
    <w:p>
      <w:pPr>
        <w:pStyle w:val="5"/>
        <w:keepNext/>
        <w:keepLines/>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rPr>
      </w:pPr>
      <w:bookmarkStart w:id="10" w:name="_Toc29582"/>
      <w:r>
        <w:rPr>
          <w:rFonts w:hint="eastAsia" w:ascii="仿宋_GB2312" w:hAnsi="仿宋_GB2312" w:eastAsia="仿宋_GB2312" w:cs="仿宋_GB2312"/>
        </w:rPr>
        <w:t>1.专业结构</w:t>
      </w:r>
      <w:bookmarkEnd w:id="10"/>
    </w:p>
    <w:p>
      <w:pPr>
        <w:pStyle w:val="12"/>
        <w:pageBreakBefore w:val="0"/>
        <w:widowControl w:val="0"/>
        <w:kinsoku/>
        <w:wordWrap/>
        <w:overflowPunct/>
        <w:topLinePunct w:val="0"/>
        <w:autoSpaceDE/>
        <w:autoSpaceDN/>
        <w:bidi w:val="0"/>
        <w:adjustRightInd w:val="0"/>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color w:val="auto"/>
          <w:kern w:val="2"/>
          <w:sz w:val="32"/>
          <w:szCs w:val="32"/>
        </w:rPr>
      </w:pPr>
      <w:r>
        <w:rPr>
          <w:rFonts w:hint="eastAsia" w:ascii="仿宋_GB2312" w:hAnsi="仿宋_GB2312" w:eastAsia="仿宋_GB2312" w:cs="仿宋_GB2312"/>
          <w:color w:val="000000"/>
          <w:kern w:val="2"/>
          <w:sz w:val="32"/>
          <w:szCs w:val="32"/>
        </w:rPr>
        <w:t>我校现有专业41个，2020年招生专业40个，专业设置以土木建筑大类为主，涵盖了建筑设计、城乡规划与管理、土建施工、建筑设备、建设工程管理、市政工程、房地产等七大专业类；适当延伸拓展至与建设行业有关联的文化艺术、交通运输、资源环境与安全、电子信息、财经商贸、教育与体育等六大专业大类，多学科专业协调发展。在校生规模最大的五个专业依次为建筑工程技术、工程造价、建设工程管理、计算机网络技术、建筑设计。</w:t>
      </w:r>
    </w:p>
    <w:p>
      <w:pPr>
        <w:pStyle w:val="5"/>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rPr>
      </w:pPr>
      <w:bookmarkStart w:id="11" w:name="_Toc25245"/>
      <w:r>
        <w:rPr>
          <w:rFonts w:hint="eastAsia" w:ascii="仿宋_GB2312" w:hAnsi="仿宋_GB2312" w:eastAsia="仿宋_GB2312" w:cs="仿宋_GB2312"/>
        </w:rPr>
        <w:t>2.专业及专业群建设</w:t>
      </w:r>
      <w:bookmarkEnd w:id="11"/>
    </w:p>
    <w:p>
      <w:pPr>
        <w:pageBreakBefore w:val="0"/>
        <w:widowControl w:val="0"/>
        <w:kinsoku/>
        <w:wordWrap/>
        <w:overflowPunct/>
        <w:topLinePunct w:val="0"/>
        <w:autoSpaceDE/>
        <w:autoSpaceDN/>
        <w:bidi w:val="0"/>
        <w:snapToGrid/>
        <w:spacing w:line="560" w:lineRule="exact"/>
        <w:ind w:right="0" w:rightChars="0" w:firstLine="640"/>
        <w:textAlignment w:val="auto"/>
        <w:rPr>
          <w:rFonts w:hint="eastAsia" w:ascii="仿宋_GB2312" w:hAnsi="仿宋_GB2312" w:eastAsia="仿宋_GB2312" w:cs="仿宋_GB2312"/>
          <w:sz w:val="32"/>
          <w:szCs w:val="32"/>
        </w:rPr>
      </w:pPr>
      <w:bookmarkStart w:id="12" w:name="_Toc437380298"/>
      <w:bookmarkStart w:id="13" w:name="_Toc3322"/>
      <w:r>
        <w:rPr>
          <w:rFonts w:hint="eastAsia" w:ascii="仿宋_GB2312" w:hAnsi="仿宋_GB2312" w:eastAsia="仿宋_GB2312" w:cs="仿宋_GB2312"/>
          <w:color w:val="000000"/>
          <w:sz w:val="32"/>
          <w:szCs w:val="32"/>
        </w:rPr>
        <w:t>学校对接建设行业产业群，服务广西经济发展，按照自治区教育厅“扶需、扶特、扶优”的专业建设指导思想，结合实际情况，优先有序，主次分明地开展专业建设，重点建设10个骨干专业。建设有国家级高水平专业群1个（建筑工程技术专业群）、自治区高水平专业群2个（建筑工程技术专业群、建筑工程管理专业群）。我校先后获批6个广西职业教育示范特色专业及实训基地建设项目，获得6000万元的专项建设资金（见表１）。</w:t>
      </w:r>
      <w:r>
        <w:rPr>
          <w:rFonts w:hint="eastAsia" w:ascii="仿宋_GB2312" w:hAnsi="仿宋_GB2312" w:eastAsia="仿宋_GB2312" w:cs="仿宋_GB2312"/>
          <w:sz w:val="32"/>
          <w:szCs w:val="32"/>
        </w:rPr>
        <w:t>2020年新增人工智能技术服务和建筑经济学专业。2021拟申请增设“建筑设备工程技术（建筑机械与机电安装方向）”“建筑工程技术（装配式建筑工程技术方向）”2个专业方向。</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1"/>
          <w:szCs w:val="21"/>
          <w:lang w:bidi="ar"/>
        </w:rPr>
      </w:pPr>
      <w:r>
        <w:rPr>
          <w:rFonts w:hint="eastAsia" w:asciiTheme="minorEastAsia" w:hAnsiTheme="minorEastAsia" w:eastAsiaTheme="minorEastAsia" w:cstheme="minorEastAsia"/>
          <w:bCs/>
          <w:color w:val="000000"/>
          <w:kern w:val="0"/>
          <w:sz w:val="21"/>
          <w:szCs w:val="21"/>
          <w:lang w:bidi="ar"/>
        </w:rPr>
        <w:t>表1 立项建设的自治区示范特色专业及实训基地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947"/>
        <w:gridCol w:w="2067"/>
        <w:gridCol w:w="3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序号</w:t>
            </w:r>
          </w:p>
        </w:tc>
        <w:tc>
          <w:tcPr>
            <w:tcW w:w="194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48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名称</w:t>
            </w:r>
          </w:p>
        </w:tc>
        <w:tc>
          <w:tcPr>
            <w:tcW w:w="206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服务专业群</w:t>
            </w:r>
          </w:p>
        </w:tc>
        <w:tc>
          <w:tcPr>
            <w:tcW w:w="36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服务领域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w:t>
            </w:r>
          </w:p>
        </w:tc>
        <w:tc>
          <w:tcPr>
            <w:tcW w:w="194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建筑工程技术示范特色专业及实训基地项目</w:t>
            </w:r>
          </w:p>
        </w:tc>
        <w:tc>
          <w:tcPr>
            <w:tcW w:w="206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以建筑工程技术专业牵头的建筑工程专业群</w:t>
            </w:r>
          </w:p>
        </w:tc>
        <w:tc>
          <w:tcPr>
            <w:tcW w:w="36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为本校以及广西同类高校提供教学场地、设备和技术支持；为建筑勘察设计、施工、工程检测等企业提供生产、技术研发、培训、技能鉴定服务。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w:t>
            </w:r>
          </w:p>
        </w:tc>
        <w:tc>
          <w:tcPr>
            <w:tcW w:w="194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工程造价示范特色专业及实训基地项目</w:t>
            </w:r>
          </w:p>
        </w:tc>
        <w:tc>
          <w:tcPr>
            <w:tcW w:w="206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以建设工程管理专业牵头的工程管理专业群</w:t>
            </w:r>
          </w:p>
        </w:tc>
        <w:tc>
          <w:tcPr>
            <w:tcW w:w="36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服务工程造价、建筑工程管理、房地产经营与估价、房地产营销策划等领域。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w:t>
            </w:r>
          </w:p>
        </w:tc>
        <w:tc>
          <w:tcPr>
            <w:tcW w:w="194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市政工程技术示范特色专业及实训基地项目</w:t>
            </w:r>
          </w:p>
        </w:tc>
        <w:tc>
          <w:tcPr>
            <w:tcW w:w="206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以市政工程技术、道路桥梁工程技术专业牵头的市政与交通专业群</w:t>
            </w:r>
          </w:p>
        </w:tc>
        <w:tc>
          <w:tcPr>
            <w:tcW w:w="36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服务市政基础设施建设、公路与铁路建设、城市轨道交通建设。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4</w:t>
            </w:r>
          </w:p>
        </w:tc>
        <w:tc>
          <w:tcPr>
            <w:tcW w:w="194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建筑设计技术示范特色专业及实训基地</w:t>
            </w:r>
          </w:p>
        </w:tc>
        <w:tc>
          <w:tcPr>
            <w:tcW w:w="206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以城镇规划专业牵头的建筑与城规专业群</w:t>
            </w:r>
          </w:p>
        </w:tc>
        <w:tc>
          <w:tcPr>
            <w:tcW w:w="36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服务城乡中小型民用建筑设计、小城镇规划编制与管理、城镇景观设计与施工领域。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5</w:t>
            </w:r>
          </w:p>
        </w:tc>
        <w:tc>
          <w:tcPr>
            <w:tcW w:w="194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建筑设备工程技术示范特色专业及实训基地</w:t>
            </w:r>
          </w:p>
        </w:tc>
        <w:tc>
          <w:tcPr>
            <w:tcW w:w="206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以建筑设备工程技术专业牵头的建筑设备专业群</w:t>
            </w:r>
          </w:p>
        </w:tc>
        <w:tc>
          <w:tcPr>
            <w:tcW w:w="36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服务建筑行业的建筑设备安装工程（包括消防）给排水、暖通、建筑电气施工技术与施工管理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6</w:t>
            </w:r>
          </w:p>
        </w:tc>
        <w:tc>
          <w:tcPr>
            <w:tcW w:w="194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建筑装饰技术专业示范特色专业及实训基地</w:t>
            </w:r>
          </w:p>
        </w:tc>
        <w:tc>
          <w:tcPr>
            <w:tcW w:w="206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以建筑装饰工程技术专业牵头的建筑装饰专业群</w:t>
            </w:r>
          </w:p>
        </w:tc>
        <w:tc>
          <w:tcPr>
            <w:tcW w:w="36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color w:val="000000"/>
                <w:kern w:val="0"/>
                <w:sz w:val="24"/>
                <w:szCs w:val="24"/>
                <w:lang w:bidi="ar"/>
              </w:rPr>
              <w:t>服务建筑装饰行业中公共建筑装饰、住宅建筑装饰等领域。</w:t>
            </w:r>
          </w:p>
        </w:tc>
      </w:tr>
    </w:tbl>
    <w:p>
      <w:pPr>
        <w:pStyle w:val="4"/>
        <w:pageBreakBefore w:val="0"/>
        <w:numPr>
          <w:ilvl w:val="0"/>
          <w:numId w:val="0"/>
        </w:numPr>
        <w:kinsoku/>
        <w:wordWrap/>
        <w:overflowPunct/>
        <w:topLinePunct w:val="0"/>
        <w:bidi w:val="0"/>
        <w:spacing w:line="560" w:lineRule="exact"/>
        <w:ind w:right="0" w:rightChars="0" w:firstLine="321" w:firstLineChars="100"/>
        <w:textAlignment w:val="auto"/>
        <w:rPr>
          <w:rFonts w:hint="eastAsia" w:ascii="楷体_GB2312" w:hAnsi="楷体_GB2312" w:eastAsia="楷体_GB2312" w:cs="楷体_GB2312"/>
          <w:b/>
          <w:bCs/>
          <w:color w:val="auto"/>
          <w:sz w:val="32"/>
          <w:szCs w:val="32"/>
        </w:rPr>
      </w:pPr>
      <w:bookmarkStart w:id="14" w:name="_Toc27630"/>
      <w:r>
        <w:rPr>
          <w:rFonts w:hint="eastAsia" w:ascii="楷体_GB2312" w:hAnsi="楷体_GB2312" w:eastAsia="楷体_GB2312" w:cs="楷体_GB2312"/>
          <w:b/>
          <w:bCs/>
          <w:color w:val="auto"/>
          <w:sz w:val="32"/>
          <w:szCs w:val="32"/>
          <w:lang w:eastAsia="zh-CN"/>
        </w:rPr>
        <w:t>（三）</w:t>
      </w:r>
      <w:r>
        <w:rPr>
          <w:rFonts w:hint="eastAsia" w:ascii="楷体_GB2312" w:hAnsi="楷体_GB2312" w:eastAsia="楷体_GB2312" w:cs="楷体_GB2312"/>
          <w:b/>
          <w:bCs/>
          <w:color w:val="auto"/>
          <w:sz w:val="32"/>
          <w:szCs w:val="32"/>
        </w:rPr>
        <w:t>师资队伍</w:t>
      </w:r>
      <w:bookmarkEnd w:id="12"/>
      <w:bookmarkEnd w:id="13"/>
      <w:r>
        <w:rPr>
          <w:rFonts w:hint="eastAsia" w:ascii="楷体_GB2312" w:hAnsi="楷体_GB2312" w:eastAsia="楷体_GB2312" w:cs="楷体_GB2312"/>
          <w:b/>
          <w:bCs/>
          <w:color w:val="auto"/>
          <w:sz w:val="32"/>
          <w:szCs w:val="32"/>
          <w:lang w:eastAsia="zh-CN"/>
        </w:rPr>
        <w:t>情况</w:t>
      </w:r>
      <w:bookmarkEnd w:id="14"/>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b w:val="0"/>
          <w:bCs w:val="0"/>
          <w:color w:val="auto"/>
          <w:kern w:val="2"/>
          <w:sz w:val="32"/>
          <w:szCs w:val="32"/>
          <w:lang w:val="en-US" w:eastAsia="zh-CN"/>
        </w:rPr>
      </w:pPr>
      <w:bookmarkStart w:id="15" w:name="_Toc3679"/>
      <w:bookmarkStart w:id="16" w:name="_Toc437380305"/>
      <w:r>
        <w:rPr>
          <w:rFonts w:hint="eastAsia" w:ascii="仿宋_GB2312" w:hAnsi="仿宋_GB2312" w:eastAsia="仿宋_GB2312" w:cs="仿宋_GB2312"/>
          <w:color w:val="auto"/>
          <w:sz w:val="32"/>
          <w:szCs w:val="32"/>
          <w:highlight w:val="none"/>
          <w:lang w:val="en-US" w:eastAsia="zh-CN"/>
        </w:rPr>
        <w:t>目前</w:t>
      </w:r>
      <w:r>
        <w:rPr>
          <w:rFonts w:hint="eastAsia" w:ascii="仿宋_GB2312" w:hAnsi="仿宋_GB2312" w:eastAsia="仿宋_GB2312" w:cs="仿宋_GB2312"/>
          <w:color w:val="auto"/>
          <w:sz w:val="32"/>
          <w:szCs w:val="32"/>
          <w:highlight w:val="none"/>
        </w:rPr>
        <w:t>全院教职工</w:t>
      </w:r>
      <w:r>
        <w:rPr>
          <w:rFonts w:hint="eastAsia" w:ascii="仿宋_GB2312" w:hAnsi="仿宋_GB2312" w:eastAsia="仿宋_GB2312" w:cs="仿宋_GB2312"/>
          <w:color w:val="auto"/>
          <w:sz w:val="32"/>
          <w:szCs w:val="32"/>
          <w:highlight w:val="none"/>
          <w:lang w:val="en-US" w:eastAsia="zh-CN"/>
        </w:rPr>
        <w:t>854</w:t>
      </w:r>
      <w:r>
        <w:rPr>
          <w:rFonts w:hint="eastAsia" w:ascii="仿宋_GB2312" w:hAnsi="仿宋_GB2312" w:eastAsia="仿宋_GB2312" w:cs="仿宋_GB2312"/>
          <w:color w:val="auto"/>
          <w:sz w:val="32"/>
          <w:szCs w:val="32"/>
          <w:highlight w:val="none"/>
        </w:rPr>
        <w:t>人，博士学位6人，在读博士8人，硕士学位4</w:t>
      </w:r>
      <w:r>
        <w:rPr>
          <w:rFonts w:hint="eastAsia" w:ascii="仿宋_GB2312" w:hAnsi="仿宋_GB2312" w:eastAsia="仿宋_GB2312" w:cs="仿宋_GB2312"/>
          <w:color w:val="auto"/>
          <w:sz w:val="32"/>
          <w:szCs w:val="32"/>
          <w:highlight w:val="none"/>
          <w:lang w:val="en-US" w:eastAsia="zh-CN"/>
        </w:rPr>
        <w:t>51</w:t>
      </w:r>
      <w:r>
        <w:rPr>
          <w:rFonts w:hint="eastAsia" w:ascii="仿宋_GB2312" w:hAnsi="仿宋_GB2312" w:eastAsia="仿宋_GB2312" w:cs="仿宋_GB2312"/>
          <w:color w:val="auto"/>
          <w:sz w:val="32"/>
          <w:szCs w:val="32"/>
          <w:highlight w:val="none"/>
        </w:rPr>
        <w:t>人，正高级职称27人，副高级职称21</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人。其中，有全国模范教师1人，全国优秀教师1人，广西教学名师3人，广西优秀教师2人，国家职业教育教学教师创新团队1个、自治区级教学团队3个。师资整体素质明显提高，已基本形成了一支学历、年龄、职称、专业结构较合理的高水平师资队伍。</w:t>
      </w:r>
    </w:p>
    <w:p>
      <w:pPr>
        <w:pStyle w:val="4"/>
        <w:keepNext/>
        <w:keepLines/>
        <w:pageBreakBefore w:val="0"/>
        <w:widowControl w:val="0"/>
        <w:kinsoku/>
        <w:wordWrap/>
        <w:overflowPunct/>
        <w:topLinePunct w:val="0"/>
        <w:autoSpaceDE/>
        <w:autoSpaceDN/>
        <w:bidi w:val="0"/>
        <w:adjustRightInd/>
        <w:snapToGrid/>
        <w:spacing w:line="0" w:lineRule="atLeast"/>
        <w:textAlignment w:val="auto"/>
        <w:rPr>
          <w:rFonts w:hint="eastAsia"/>
          <w:lang w:val="en-US" w:eastAsia="zh-CN"/>
        </w:rPr>
      </w:pPr>
      <w:bookmarkStart w:id="17" w:name="_Toc17522"/>
      <w:r>
        <w:rPr>
          <w:rFonts w:hint="eastAsia"/>
          <w:lang w:val="en-US" w:eastAsia="zh-CN"/>
        </w:rPr>
        <w:t>（四）招生情况</w:t>
      </w:r>
      <w:bookmarkEnd w:id="17"/>
    </w:p>
    <w:p>
      <w:pPr>
        <w:pStyle w:val="5"/>
        <w:keepNext/>
        <w:keepLines/>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rPr>
      </w:pPr>
      <w:bookmarkStart w:id="18" w:name="_Toc847_WPSOffice_Level3"/>
      <w:bookmarkStart w:id="19" w:name="_Toc13740"/>
      <w:r>
        <w:rPr>
          <w:rFonts w:hint="eastAsia" w:ascii="仿宋_GB2312" w:hAnsi="仿宋_GB2312" w:eastAsia="仿宋_GB2312" w:cs="仿宋_GB2312"/>
        </w:rPr>
        <w:t>1.</w:t>
      </w:r>
      <w:bookmarkEnd w:id="18"/>
      <w:r>
        <w:rPr>
          <w:rFonts w:hint="eastAsia" w:ascii="仿宋_GB2312" w:hAnsi="仿宋_GB2312" w:eastAsia="仿宋_GB2312" w:cs="仿宋_GB2312"/>
        </w:rPr>
        <w:t>高质量完成各类型招生任务</w:t>
      </w:r>
      <w:bookmarkEnd w:id="19"/>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sz w:val="32"/>
          <w:szCs w:val="32"/>
        </w:rPr>
      </w:pPr>
      <w:bookmarkStart w:id="20" w:name="_Toc26750_WPSOffice_Level3"/>
      <w:r>
        <w:rPr>
          <w:rFonts w:hint="eastAsia" w:ascii="仿宋_GB2312" w:hAnsi="仿宋_GB2312" w:eastAsia="仿宋_GB2312" w:cs="仿宋_GB2312"/>
          <w:sz w:val="32"/>
          <w:szCs w:val="32"/>
        </w:rPr>
        <w:t>2020年，为</w:t>
      </w:r>
      <w:r>
        <w:rPr>
          <w:rFonts w:hint="eastAsia" w:ascii="仿宋_GB2312" w:hAnsi="仿宋_GB2312" w:eastAsia="仿宋_GB2312" w:cs="仿宋_GB2312"/>
          <w:bCs/>
          <w:sz w:val="32"/>
          <w:szCs w:val="32"/>
        </w:rPr>
        <w:t>响应国务院关于高职扩招100万的任务要求，在科学预估生源情况、综合评估学校办学条件等基础上，学校招生计划为8380个（其中普通高等教育招生计划8300个，退役军人等8个群体人员学历提升招生计划80个），</w:t>
      </w:r>
      <w:r>
        <w:rPr>
          <w:rFonts w:hint="eastAsia" w:ascii="仿宋_GB2312" w:hAnsi="仿宋_GB2312" w:eastAsia="仿宋_GB2312" w:cs="仿宋_GB2312"/>
          <w:sz w:val="32"/>
          <w:szCs w:val="32"/>
        </w:rPr>
        <w:t>招生专业共计40个，招生生源省份分别为广西、河北、山东、湖北、湖南、江西、四川、福建、河南、广东、海南、陕西、云南、贵州等14个省。</w:t>
      </w:r>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2020年，我校实际录取新生8322人</w:t>
      </w:r>
      <w:r>
        <w:rPr>
          <w:rFonts w:hint="eastAsia" w:ascii="仿宋_GB2312" w:hAnsi="仿宋_GB2312" w:eastAsia="仿宋_GB2312" w:cs="仿宋_GB2312"/>
          <w:bCs/>
          <w:sz w:val="32"/>
          <w:szCs w:val="32"/>
        </w:rPr>
        <w:t>，普通高等教育招生</w:t>
      </w:r>
      <w:r>
        <w:rPr>
          <w:rFonts w:hint="eastAsia" w:ascii="仿宋_GB2312" w:hAnsi="仿宋_GB2312" w:eastAsia="仿宋_GB2312" w:cs="仿宋_GB2312"/>
          <w:sz w:val="32"/>
          <w:szCs w:val="32"/>
        </w:rPr>
        <w:t>计划完成率达到100%</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录取人数位居区内同类院校前列，生源数量充足，质量有提高，总体呈现量增质升的良好态势。其中，区内普高普通批（含中外合作、精准脱贫）录取3091名、普高提前批录取150名、单招录取3488名、对口录取1396名，外省录取176名；区内普高招生计划完成率达到100%，外省计划完成率达到90.26%，较去年外省计划完成率提升了39.34%。</w:t>
      </w:r>
    </w:p>
    <w:p>
      <w:pPr>
        <w:pStyle w:val="5"/>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rPr>
      </w:pPr>
      <w:bookmarkStart w:id="21" w:name="_Toc10521"/>
      <w:r>
        <w:rPr>
          <w:rFonts w:hint="eastAsia" w:ascii="仿宋_GB2312" w:hAnsi="仿宋_GB2312" w:eastAsia="仿宋_GB2312" w:cs="仿宋_GB2312"/>
        </w:rPr>
        <w:t>2.生源数量充足，质量有提高</w:t>
      </w:r>
      <w:bookmarkEnd w:id="20"/>
      <w:bookmarkEnd w:id="21"/>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21" w:firstLine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（1）普通高考招生录取工作。</w:t>
      </w:r>
      <w:r>
        <w:rPr>
          <w:rFonts w:hint="eastAsia" w:ascii="仿宋_GB2312" w:hAnsi="仿宋_GB2312" w:eastAsia="仿宋_GB2312" w:cs="仿宋_GB2312"/>
          <w:sz w:val="32"/>
          <w:szCs w:val="32"/>
        </w:rPr>
        <w:t>2020年，我校普通高考录取批次文理类正投最低出档线分别为331分、309分，与2019年相比，文史类分数降低1分，理工类分数提高13分。在2020年广西高职院校的普通批次出档线排名中（根据2017年-2020年比对的院校），我校文史类排名第3位（比2019年上升3位），理工类排名第4位（比2019年上升3位）。</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1"/>
          <w:szCs w:val="21"/>
          <w:lang w:bidi="ar"/>
        </w:rPr>
      </w:pPr>
      <w:r>
        <w:rPr>
          <w:rFonts w:hint="eastAsia" w:asciiTheme="minorEastAsia" w:hAnsiTheme="minorEastAsia" w:eastAsiaTheme="minorEastAsia" w:cstheme="minorEastAsia"/>
          <w:bCs/>
          <w:color w:val="000000"/>
          <w:kern w:val="0"/>
          <w:sz w:val="21"/>
          <w:szCs w:val="21"/>
          <w:lang w:bidi="ar"/>
        </w:rPr>
        <w:t>表</w:t>
      </w:r>
      <w:r>
        <w:rPr>
          <w:rFonts w:hint="default" w:asciiTheme="minorEastAsia" w:hAnsiTheme="minorEastAsia" w:eastAsiaTheme="minorEastAsia" w:cstheme="minorEastAsia"/>
          <w:bCs/>
          <w:color w:val="000000"/>
          <w:kern w:val="0"/>
          <w:sz w:val="21"/>
          <w:szCs w:val="21"/>
          <w:lang w:bidi="ar"/>
        </w:rPr>
        <w:t>2</w:t>
      </w:r>
      <w:r>
        <w:rPr>
          <w:rFonts w:hint="eastAsia" w:asciiTheme="minorEastAsia" w:hAnsiTheme="minorEastAsia" w:eastAsiaTheme="minorEastAsia" w:cstheme="minorEastAsia"/>
          <w:bCs/>
          <w:color w:val="000000"/>
          <w:kern w:val="0"/>
          <w:sz w:val="21"/>
          <w:szCs w:val="21"/>
          <w:lang w:bidi="ar"/>
        </w:rPr>
        <w:t xml:space="preserve"> 近三年我校普通批正投投档分数线</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1037"/>
        <w:gridCol w:w="1134"/>
        <w:gridCol w:w="992"/>
        <w:gridCol w:w="992"/>
        <w:gridCol w:w="1128"/>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246"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年份</w:t>
            </w:r>
          </w:p>
        </w:tc>
        <w:tc>
          <w:tcPr>
            <w:tcW w:w="3163"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文史类</w:t>
            </w:r>
          </w:p>
        </w:tc>
        <w:tc>
          <w:tcPr>
            <w:tcW w:w="3402"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理工类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1246"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p>
        </w:tc>
        <w:tc>
          <w:tcPr>
            <w:tcW w:w="103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广西控制分数线</w:t>
            </w:r>
          </w:p>
        </w:tc>
        <w:tc>
          <w:tcPr>
            <w:tcW w:w="1134"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广西二本分数线</w:t>
            </w:r>
          </w:p>
        </w:tc>
        <w:tc>
          <w:tcPr>
            <w:tcW w:w="992"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我校投档线</w:t>
            </w:r>
          </w:p>
        </w:tc>
        <w:tc>
          <w:tcPr>
            <w:tcW w:w="992"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广西控制分数线</w:t>
            </w:r>
          </w:p>
        </w:tc>
        <w:tc>
          <w:tcPr>
            <w:tcW w:w="1128"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广西二本分数线</w:t>
            </w:r>
          </w:p>
        </w:tc>
        <w:tc>
          <w:tcPr>
            <w:tcW w:w="1282"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我校投档线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124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2018</w:t>
            </w:r>
          </w:p>
        </w:tc>
        <w:tc>
          <w:tcPr>
            <w:tcW w:w="103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200</w:t>
            </w:r>
          </w:p>
        </w:tc>
        <w:tc>
          <w:tcPr>
            <w:tcW w:w="1134"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403</w:t>
            </w:r>
          </w:p>
        </w:tc>
        <w:tc>
          <w:tcPr>
            <w:tcW w:w="992"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340</w:t>
            </w:r>
          </w:p>
        </w:tc>
        <w:tc>
          <w:tcPr>
            <w:tcW w:w="992"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200</w:t>
            </w:r>
          </w:p>
        </w:tc>
        <w:tc>
          <w:tcPr>
            <w:tcW w:w="1128"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345</w:t>
            </w:r>
          </w:p>
        </w:tc>
        <w:tc>
          <w:tcPr>
            <w:tcW w:w="1282"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124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2019</w:t>
            </w:r>
          </w:p>
        </w:tc>
        <w:tc>
          <w:tcPr>
            <w:tcW w:w="103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180</w:t>
            </w:r>
          </w:p>
        </w:tc>
        <w:tc>
          <w:tcPr>
            <w:tcW w:w="1134"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388</w:t>
            </w:r>
          </w:p>
        </w:tc>
        <w:tc>
          <w:tcPr>
            <w:tcW w:w="992"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332</w:t>
            </w:r>
          </w:p>
        </w:tc>
        <w:tc>
          <w:tcPr>
            <w:tcW w:w="992"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180</w:t>
            </w:r>
          </w:p>
        </w:tc>
        <w:tc>
          <w:tcPr>
            <w:tcW w:w="1128"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347</w:t>
            </w:r>
          </w:p>
        </w:tc>
        <w:tc>
          <w:tcPr>
            <w:tcW w:w="1282"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jc w:val="center"/>
        </w:trPr>
        <w:tc>
          <w:tcPr>
            <w:tcW w:w="124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2020</w:t>
            </w:r>
          </w:p>
        </w:tc>
        <w:tc>
          <w:tcPr>
            <w:tcW w:w="103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180</w:t>
            </w:r>
          </w:p>
        </w:tc>
        <w:tc>
          <w:tcPr>
            <w:tcW w:w="1134"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381</w:t>
            </w:r>
          </w:p>
        </w:tc>
        <w:tc>
          <w:tcPr>
            <w:tcW w:w="992"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331</w:t>
            </w:r>
          </w:p>
        </w:tc>
        <w:tc>
          <w:tcPr>
            <w:tcW w:w="992"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180</w:t>
            </w:r>
          </w:p>
        </w:tc>
        <w:tc>
          <w:tcPr>
            <w:tcW w:w="1128"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353</w:t>
            </w:r>
          </w:p>
        </w:tc>
        <w:tc>
          <w:tcPr>
            <w:tcW w:w="1282"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4"/>
                <w:szCs w:val="24"/>
                <w:lang w:bidi="ar"/>
              </w:rPr>
            </w:pPr>
            <w:r>
              <w:rPr>
                <w:rFonts w:hint="eastAsia" w:asciiTheme="minorEastAsia" w:hAnsiTheme="minorEastAsia" w:eastAsiaTheme="minorEastAsia" w:cstheme="minorEastAsia"/>
                <w:bCs/>
                <w:color w:val="000000"/>
                <w:kern w:val="0"/>
                <w:sz w:val="24"/>
                <w:szCs w:val="24"/>
                <w:lang w:bidi="ar"/>
              </w:rPr>
              <w:t>309</w:t>
            </w:r>
          </w:p>
        </w:tc>
      </w:tr>
    </w:tbl>
    <w:p>
      <w:pPr>
        <w:pageBreakBefore w:val="0"/>
        <w:kinsoku/>
        <w:wordWrap/>
        <w:overflowPunct/>
        <w:topLinePunct w:val="0"/>
        <w:bidi w:val="0"/>
        <w:spacing w:line="560" w:lineRule="exact"/>
        <w:ind w:left="0" w:leftChars="0" w:right="0" w:rightChars="0" w:firstLine="321" w:firstLineChars="1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val="0"/>
          <w:kern w:val="0"/>
          <w:sz w:val="32"/>
          <w:szCs w:val="32"/>
        </w:rPr>
        <w:t>（2）单招/对口联合测试工作。</w:t>
      </w:r>
      <w:r>
        <w:rPr>
          <w:rFonts w:hint="eastAsia" w:ascii="仿宋_GB2312" w:hAnsi="仿宋_GB2312" w:eastAsia="仿宋_GB2312" w:cs="仿宋_GB2312"/>
          <w:bCs/>
          <w:kern w:val="0"/>
          <w:sz w:val="32"/>
          <w:szCs w:val="32"/>
        </w:rPr>
        <w:t>单招、对口生源数量充足。2020年我校单独/对口招生共录取新生4884人，其中：单招出档人数4882人，出档比例1：1.4，录取人数3488人；对口招生出档人数3101人，出档比例1：2.2，录取人数1396人，一志愿录取率为66.76%。</w:t>
      </w:r>
    </w:p>
    <w:p>
      <w:pPr>
        <w:pageBreakBefore w:val="0"/>
        <w:widowControl/>
        <w:kinsoku/>
        <w:wordWrap/>
        <w:overflowPunct/>
        <w:topLinePunct w:val="0"/>
        <w:bidi w:val="0"/>
        <w:spacing w:line="560" w:lineRule="exact"/>
        <w:ind w:left="0" w:leftChars="0" w:right="0" w:rightChars="0" w:firstLine="321" w:firstLineChars="1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
          <w:bCs w:val="0"/>
          <w:kern w:val="0"/>
          <w:sz w:val="32"/>
          <w:szCs w:val="32"/>
        </w:rPr>
        <w:t>（3）中职2+3合作办学工作。</w:t>
      </w:r>
      <w:r>
        <w:rPr>
          <w:rFonts w:hint="eastAsia" w:ascii="仿宋_GB2312" w:hAnsi="仿宋_GB2312" w:eastAsia="仿宋_GB2312" w:cs="仿宋_GB2312"/>
          <w:bCs/>
          <w:kern w:val="0"/>
          <w:sz w:val="32"/>
          <w:szCs w:val="32"/>
        </w:rPr>
        <w:t>根据学校发展规划，我校与广西城市建设学校、广西工商学校、南宁市第一职业技术学校、南宁市第三职业技术学校、广西都安县职业教育中心、广西藤县中等专业学校、浦北县第一职业技术学校</w:t>
      </w:r>
      <w:r>
        <w:rPr>
          <w:rFonts w:hint="eastAsia" w:ascii="仿宋_GB2312" w:hAnsi="仿宋_GB2312" w:eastAsia="仿宋_GB2312" w:cs="仿宋_GB2312"/>
          <w:bCs/>
          <w:sz w:val="32"/>
          <w:szCs w:val="32"/>
        </w:rPr>
        <w:t>7</w:t>
      </w:r>
      <w:r>
        <w:rPr>
          <w:rFonts w:hint="eastAsia" w:ascii="仿宋_GB2312" w:hAnsi="仿宋_GB2312" w:eastAsia="仿宋_GB2312" w:cs="仿宋_GB2312"/>
          <w:bCs/>
          <w:kern w:val="0"/>
          <w:sz w:val="32"/>
          <w:szCs w:val="32"/>
        </w:rPr>
        <w:t>所</w:t>
      </w:r>
      <w:r>
        <w:rPr>
          <w:rFonts w:hint="eastAsia" w:ascii="仿宋_GB2312" w:hAnsi="仿宋_GB2312" w:eastAsia="仿宋_GB2312" w:cs="仿宋_GB2312"/>
          <w:bCs/>
          <w:sz w:val="32"/>
          <w:szCs w:val="32"/>
        </w:rPr>
        <w:t>中职学校联合</w:t>
      </w:r>
      <w:r>
        <w:rPr>
          <w:rFonts w:hint="eastAsia" w:ascii="仿宋_GB2312" w:hAnsi="仿宋_GB2312" w:eastAsia="仿宋_GB2312" w:cs="仿宋_GB2312"/>
          <w:bCs/>
          <w:kern w:val="0"/>
          <w:sz w:val="32"/>
          <w:szCs w:val="32"/>
        </w:rPr>
        <w:t>开展“</w:t>
      </w:r>
      <w:r>
        <w:rPr>
          <w:rFonts w:hint="eastAsia" w:ascii="仿宋_GB2312" w:hAnsi="仿宋_GB2312" w:eastAsia="仿宋_GB2312" w:cs="仿宋_GB2312"/>
          <w:bCs/>
          <w:sz w:val="32"/>
          <w:szCs w:val="32"/>
        </w:rPr>
        <w:t>2+3</w:t>
      </w:r>
      <w:r>
        <w:rPr>
          <w:rFonts w:hint="eastAsia" w:ascii="仿宋_GB2312" w:hAnsi="仿宋_GB2312" w:eastAsia="仿宋_GB2312" w:cs="仿宋_GB2312"/>
          <w:bCs/>
          <w:kern w:val="0"/>
          <w:sz w:val="32"/>
          <w:szCs w:val="32"/>
        </w:rPr>
        <w:t>”</w:t>
      </w:r>
      <w:r>
        <w:rPr>
          <w:rFonts w:hint="eastAsia" w:ascii="仿宋_GB2312" w:hAnsi="仿宋_GB2312" w:eastAsia="仿宋_GB2312" w:cs="仿宋_GB2312"/>
          <w:bCs/>
          <w:sz w:val="32"/>
          <w:szCs w:val="32"/>
        </w:rPr>
        <w:t>中高职合作办学，</w:t>
      </w:r>
      <w:r>
        <w:rPr>
          <w:rFonts w:hint="eastAsia" w:ascii="仿宋_GB2312" w:hAnsi="仿宋_GB2312" w:eastAsia="仿宋_GB2312" w:cs="仿宋_GB2312"/>
          <w:bCs/>
          <w:color w:val="000000"/>
          <w:kern w:val="0"/>
          <w:sz w:val="32"/>
          <w:szCs w:val="32"/>
        </w:rPr>
        <w:t>比去年新增合作办学学校2所。</w:t>
      </w:r>
    </w:p>
    <w:p>
      <w:pPr>
        <w:pStyle w:val="5"/>
        <w:pageBreakBefore w:val="0"/>
        <w:widowControl w:val="0"/>
        <w:kinsoku/>
        <w:wordWrap/>
        <w:overflowPunct/>
        <w:topLinePunct w:val="0"/>
        <w:autoSpaceDE/>
        <w:autoSpaceDN/>
        <w:bidi w:val="0"/>
        <w:snapToGrid/>
        <w:spacing w:line="0" w:lineRule="atLeast"/>
        <w:textAlignment w:val="auto"/>
        <w:rPr>
          <w:rFonts w:hint="eastAsia" w:ascii="仿宋_GB2312" w:hAnsi="仿宋_GB2312" w:eastAsia="仿宋_GB2312" w:cs="仿宋_GB2312"/>
        </w:rPr>
      </w:pPr>
      <w:bookmarkStart w:id="22" w:name="_Toc15489_WPSOffice_Level3"/>
      <w:bookmarkStart w:id="23" w:name="_Toc4914"/>
      <w:r>
        <w:rPr>
          <w:rFonts w:hint="eastAsia" w:ascii="仿宋_GB2312" w:hAnsi="仿宋_GB2312" w:eastAsia="仿宋_GB2312" w:cs="仿宋_GB2312"/>
        </w:rPr>
        <w:t>3.保持较高的新生报到率</w:t>
      </w:r>
      <w:bookmarkEnd w:id="22"/>
      <w:bookmarkEnd w:id="23"/>
    </w:p>
    <w:p>
      <w:pPr>
        <w:pStyle w:val="12"/>
        <w:keepNext w:val="0"/>
        <w:keepLines w:val="0"/>
        <w:pageBreakBefore w:val="0"/>
        <w:widowControl w:val="0"/>
        <w:kinsoku/>
        <w:wordWrap/>
        <w:overflowPunct/>
        <w:topLinePunct w:val="0"/>
        <w:autoSpaceDE/>
        <w:autoSpaceDN/>
        <w:bidi w:val="0"/>
        <w:adjustRightInd w:val="0"/>
        <w:snapToGrid/>
        <w:spacing w:before="0" w:beforeAutospacing="0" w:after="0" w:afterAutospacing="0" w:line="560" w:lineRule="exact"/>
        <w:ind w:right="0" w:rightChars="0" w:firstLine="320" w:firstLineChars="100"/>
        <w:jc w:val="both"/>
        <w:textAlignment w:val="auto"/>
        <w:rPr>
          <w:rFonts w:hint="eastAsia" w:ascii="仿宋_GB2312" w:hAnsi="仿宋_GB2312" w:eastAsia="仿宋_GB2312" w:cs="仿宋_GB2312"/>
          <w:bCs/>
          <w:kern w:val="0"/>
          <w:sz w:val="32"/>
          <w:szCs w:val="32"/>
          <w:lang w:val="en-US" w:eastAsia="zh-CN" w:bidi="ar-SA"/>
        </w:rPr>
      </w:pPr>
      <w:r>
        <w:rPr>
          <w:rFonts w:hint="eastAsia" w:ascii="仿宋_GB2312" w:hAnsi="仿宋_GB2312" w:eastAsia="仿宋_GB2312" w:cs="仿宋_GB2312"/>
          <w:bCs/>
          <w:kern w:val="0"/>
          <w:sz w:val="32"/>
          <w:szCs w:val="32"/>
          <w:lang w:val="en-US" w:eastAsia="zh-CN" w:bidi="ar-SA"/>
        </w:rPr>
        <w:t>2020年，我校新生报到人数7925人，新生报到率为95%，新生报到率创历史新高，位居广西高职院校新生报到率前列。</w:t>
      </w:r>
    </w:p>
    <w:p>
      <w:pPr>
        <w:pStyle w:val="4"/>
        <w:keepNext/>
        <w:keepLines/>
        <w:pageBreakBefore w:val="0"/>
        <w:widowControl w:val="0"/>
        <w:kinsoku/>
        <w:wordWrap/>
        <w:overflowPunct/>
        <w:topLinePunct w:val="0"/>
        <w:autoSpaceDE/>
        <w:autoSpaceDN/>
        <w:bidi w:val="0"/>
        <w:adjustRightInd/>
        <w:snapToGrid/>
        <w:spacing w:line="560" w:lineRule="exact"/>
        <w:ind w:left="0" w:leftChars="0" w:firstLine="321" w:firstLineChars="100"/>
        <w:textAlignment w:val="auto"/>
        <w:rPr>
          <w:rFonts w:hint="eastAsia"/>
          <w:lang w:val="en-US" w:eastAsia="zh-CN"/>
        </w:rPr>
      </w:pPr>
      <w:bookmarkStart w:id="24" w:name="_Toc31417"/>
      <w:r>
        <w:rPr>
          <w:rFonts w:hint="eastAsia"/>
          <w:lang w:val="en-US" w:eastAsia="zh-CN"/>
        </w:rPr>
        <w:t>（五）师生荣誉</w:t>
      </w:r>
      <w:bookmarkEnd w:id="24"/>
    </w:p>
    <w:p>
      <w:pPr>
        <w:pStyle w:val="5"/>
        <w:keepNext/>
        <w:keepLines/>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lang w:val="en-US" w:eastAsia="zh-CN"/>
        </w:rPr>
      </w:pPr>
      <w:bookmarkStart w:id="25" w:name="_Toc14819"/>
      <w:r>
        <w:rPr>
          <w:rFonts w:hint="eastAsia" w:ascii="仿宋_GB2312" w:hAnsi="仿宋_GB2312" w:eastAsia="仿宋_GB2312" w:cs="仿宋_GB2312"/>
          <w:lang w:val="en-US" w:eastAsia="zh-CN"/>
        </w:rPr>
        <w:t>1.教师荣誉</w:t>
      </w:r>
      <w:bookmarkEnd w:id="25"/>
    </w:p>
    <w:p>
      <w:pPr>
        <w:pStyle w:val="12"/>
        <w:pageBreakBefore w:val="0"/>
        <w:widowControl w:val="0"/>
        <w:numPr>
          <w:ilvl w:val="0"/>
          <w:numId w:val="0"/>
        </w:numPr>
        <w:kinsoku/>
        <w:wordWrap/>
        <w:overflowPunct/>
        <w:topLinePunct w:val="0"/>
        <w:autoSpaceDE/>
        <w:autoSpaceDN/>
        <w:bidi w:val="0"/>
        <w:adjustRightInd w:val="0"/>
        <w:snapToGrid/>
        <w:spacing w:before="0" w:beforeAutospacing="0" w:after="0" w:afterAutospacing="0" w:line="560" w:lineRule="exact"/>
        <w:ind w:right="0" w:rightChars="0" w:firstLine="640" w:firstLineChars="200"/>
        <w:jc w:val="both"/>
        <w:textAlignment w:val="auto"/>
        <w:rPr>
          <w:rFonts w:hint="default" w:ascii="仿宋_GB2312" w:hAnsi="仿宋_GB2312" w:eastAsia="仿宋_GB2312" w:cs="仿宋_GB2312"/>
          <w:color w:val="auto"/>
          <w:sz w:val="32"/>
          <w:szCs w:val="32"/>
          <w:highlight w:val="none"/>
          <w:lang w:val="en-US" w:eastAsia="zh-CN"/>
        </w:rPr>
      </w:pPr>
      <w:bookmarkStart w:id="26" w:name="_Toc9552_WPSOffice_Level3"/>
      <w:r>
        <w:rPr>
          <w:rFonts w:hint="eastAsia" w:ascii="仿宋_GB2312" w:hAnsi="仿宋_GB2312" w:eastAsia="仿宋_GB2312" w:cs="仿宋_GB2312"/>
          <w:sz w:val="32"/>
          <w:szCs w:val="32"/>
          <w:shd w:val="clear" w:color="auto" w:fill="FFFFFF"/>
        </w:rPr>
        <w:t>2020年，我校</w:t>
      </w:r>
      <w:r>
        <w:rPr>
          <w:rFonts w:hint="eastAsia" w:ascii="仿宋_GB2312" w:hAnsi="仿宋_GB2312" w:eastAsia="仿宋_GB2312" w:cs="仿宋_GB2312"/>
          <w:kern w:val="2"/>
          <w:sz w:val="32"/>
          <w:szCs w:val="32"/>
          <w:shd w:val="clear" w:color="auto" w:fill="FFFFFF"/>
        </w:rPr>
        <w:t>积极组织教师</w:t>
      </w:r>
      <w:r>
        <w:rPr>
          <w:rFonts w:hint="eastAsia" w:ascii="仿宋_GB2312" w:hAnsi="仿宋_GB2312" w:eastAsia="仿宋_GB2312" w:cs="仿宋_GB2312"/>
          <w:kern w:val="2"/>
          <w:sz w:val="32"/>
          <w:szCs w:val="32"/>
          <w:shd w:val="clear" w:color="auto" w:fill="FFFFFF"/>
          <w:lang w:eastAsia="zh-CN"/>
        </w:rPr>
        <w:t>参加</w:t>
      </w:r>
      <w:r>
        <w:rPr>
          <w:rFonts w:hint="eastAsia" w:ascii="仿宋_GB2312" w:hAnsi="仿宋_GB2312" w:eastAsia="仿宋_GB2312" w:cs="仿宋_GB2312"/>
          <w:kern w:val="2"/>
          <w:sz w:val="32"/>
          <w:szCs w:val="32"/>
          <w:shd w:val="clear" w:color="auto" w:fill="FFFFFF"/>
        </w:rPr>
        <w:t>国家、自治区教学能力比赛和教育教学信息化大赛。获全国职业院校教学能力大赛三等奖1项，广西教学能力大赛课堂教学比赛一等奖3项、二等奖2项、三等奖2项；微课教学比赛一等奖1项、二等奖2项、三等奖5项。此外，获广西高校教育教学信息化大赛一等奖1项、二等奖3项、三等奖1项。</w:t>
      </w:r>
      <w:r>
        <w:rPr>
          <w:rFonts w:hint="eastAsia" w:ascii="仿宋_GB2312" w:hAnsi="仿宋_GB2312" w:eastAsia="仿宋_GB2312" w:cs="仿宋_GB2312"/>
          <w:color w:val="auto"/>
          <w:sz w:val="32"/>
          <w:szCs w:val="32"/>
          <w:highlight w:val="none"/>
          <w:lang w:val="en-US" w:eastAsia="zh-CN"/>
        </w:rPr>
        <w:t>在2020年广西高校思想政治理论课教师教学基本功暨“精彩一课”比赛中荣获教授组三等奖1名</w:t>
      </w:r>
      <w:r>
        <w:rPr>
          <w:rFonts w:hint="default" w:ascii="仿宋_GB2312" w:hAnsi="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青年组一等奖1名，三等奖2名。在第八届全国高校辅导员素质能力大赛中荣获三等奖，在自治区第九届广西高校辅导员素质能力大赛中荣获一等奖1名，三等奖1名。2020年区直机关理论宣讲比赛暨第五届区直机关“书香机关阅读圆梦”朗读会荣获一等奖1名。全区高校军事理论课教学比赛荣获一等奖1项。国家“万人计划”中获得教学名师1名，2020年自治区先进工作者1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lang w:val="en-US" w:eastAsia="zh-CN" w:bidi="ar-SA"/>
        </w:rPr>
        <w:t>在扶贫攻坚方面，我校驻村第一书记韦可山同志被自治区党委组织部授予“全区优秀贫困村党组织第一书记”荣誉称号。自治区住房和城乡建设厅直属事业单位脱贫攻坚专项奖励中获记功奖励10人，获嘉奖奖励99人。</w:t>
      </w:r>
      <w:bookmarkEnd w:id="26"/>
    </w:p>
    <w:p>
      <w:pPr>
        <w:pStyle w:val="5"/>
        <w:pageBreakBefore w:val="0"/>
        <w:widowControl w:val="0"/>
        <w:kinsoku/>
        <w:wordWrap/>
        <w:overflowPunct/>
        <w:topLinePunct w:val="0"/>
        <w:autoSpaceDE/>
        <w:autoSpaceDN/>
        <w:bidi w:val="0"/>
        <w:snapToGrid/>
        <w:spacing w:line="0" w:lineRule="atLeast"/>
        <w:textAlignment w:val="auto"/>
        <w:rPr>
          <w:rFonts w:hint="eastAsia" w:ascii="仿宋_GB2312" w:hAnsi="仿宋_GB2312" w:eastAsia="仿宋_GB2312" w:cs="仿宋_GB2312"/>
          <w:lang w:val="en-US" w:eastAsia="zh-CN"/>
        </w:rPr>
      </w:pPr>
      <w:bookmarkStart w:id="27" w:name="_Toc9622"/>
      <w:r>
        <w:rPr>
          <w:rFonts w:hint="eastAsia" w:ascii="仿宋_GB2312" w:hAnsi="仿宋_GB2312" w:eastAsia="仿宋_GB2312" w:cs="仿宋_GB2312"/>
          <w:lang w:val="en-US" w:eastAsia="zh-CN"/>
        </w:rPr>
        <w:t>2.学生荣誉</w:t>
      </w:r>
      <w:bookmarkEnd w:id="27"/>
    </w:p>
    <w:p>
      <w:pPr>
        <w:pStyle w:val="12"/>
        <w:pageBreakBefore w:val="0"/>
        <w:widowControl w:val="0"/>
        <w:kinsoku/>
        <w:wordWrap/>
        <w:overflowPunct/>
        <w:topLinePunct w:val="0"/>
        <w:autoSpaceDE/>
        <w:autoSpaceDN/>
        <w:bidi w:val="0"/>
        <w:adjustRightInd w:val="0"/>
        <w:snapToGrid/>
        <w:spacing w:before="0" w:beforeAutospacing="0" w:after="0" w:afterAutospacing="0" w:line="0" w:lineRule="atLeast"/>
        <w:ind w:right="0" w:rightChars="0" w:firstLine="640" w:firstLineChars="200"/>
        <w:jc w:val="both"/>
        <w:textAlignment w:val="auto"/>
        <w:rPr>
          <w:rFonts w:hint="eastAsia" w:ascii="仿宋_GB2312" w:hAnsi="仿宋_GB2312" w:eastAsia="仿宋_GB2312" w:cs="仿宋_GB2312"/>
          <w:kern w:val="2"/>
          <w:sz w:val="32"/>
          <w:szCs w:val="32"/>
          <w:shd w:val="clear" w:color="auto" w:fill="FFFFFF"/>
        </w:rPr>
      </w:pPr>
      <w:bookmarkStart w:id="28" w:name="_Toc28580_WPSOffice_Level3"/>
      <w:r>
        <w:rPr>
          <w:rFonts w:hint="eastAsia" w:ascii="仿宋_GB2312" w:hAnsi="仿宋_GB2312" w:eastAsia="仿宋_GB2312" w:cs="仿宋_GB2312"/>
          <w:kern w:val="2"/>
          <w:sz w:val="32"/>
          <w:szCs w:val="32"/>
          <w:shd w:val="clear" w:color="auto" w:fill="FFFFFF"/>
        </w:rPr>
        <w:t>一年来，我校积极组织参与和承办各级各类比赛，取得了丰硕成果。</w:t>
      </w:r>
    </w:p>
    <w:p>
      <w:pPr>
        <w:pStyle w:val="12"/>
        <w:pageBreakBefore w:val="0"/>
        <w:widowControl w:val="0"/>
        <w:kinsoku/>
        <w:wordWrap/>
        <w:overflowPunct/>
        <w:topLinePunct w:val="0"/>
        <w:bidi w:val="0"/>
        <w:adjustRightInd w:val="0"/>
        <w:spacing w:before="0" w:beforeAutospacing="0" w:after="0" w:afterAutospacing="0" w:line="560" w:lineRule="exact"/>
        <w:ind w:right="0" w:rightChars="0" w:firstLine="643" w:firstLineChars="200"/>
        <w:jc w:val="both"/>
        <w:textAlignment w:val="auto"/>
        <w:rPr>
          <w:rFonts w:hint="eastAsia" w:ascii="仿宋_GB2312" w:hAnsi="仿宋_GB2312" w:eastAsia="仿宋_GB2312" w:cs="仿宋_GB2312"/>
          <w:b/>
          <w:bCs w:val="0"/>
          <w:kern w:val="2"/>
          <w:sz w:val="32"/>
          <w:szCs w:val="32"/>
        </w:rPr>
      </w:pPr>
      <w:r>
        <w:rPr>
          <w:rFonts w:hint="eastAsia" w:ascii="仿宋_GB2312" w:hAnsi="仿宋_GB2312" w:eastAsia="仿宋_GB2312" w:cs="仿宋_GB2312"/>
          <w:b/>
          <w:bCs w:val="0"/>
          <w:kern w:val="2"/>
          <w:sz w:val="32"/>
          <w:szCs w:val="32"/>
        </w:rPr>
        <w:t>（1）保持学生专业技能竞赛良好成绩</w:t>
      </w:r>
      <w:bookmarkEnd w:id="28"/>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color w:val="000000"/>
          <w:sz w:val="32"/>
          <w:szCs w:val="32"/>
          <w:shd w:val="clear" w:color="auto" w:fill="FFFFFF"/>
        </w:rPr>
      </w:pPr>
      <w:bookmarkStart w:id="29" w:name="_Toc3312_WPSOffice_Level3"/>
      <w:r>
        <w:rPr>
          <w:rFonts w:hint="eastAsia" w:ascii="仿宋_GB2312" w:hAnsi="仿宋_GB2312" w:eastAsia="仿宋_GB2312" w:cs="仿宋_GB2312"/>
          <w:sz w:val="32"/>
          <w:szCs w:val="32"/>
          <w:shd w:val="clear" w:color="auto" w:fill="FFFFFF"/>
        </w:rPr>
        <w:t>2020年，我校积极组织学生参加广西职业院校技能大赛及全国职业院校技能大</w:t>
      </w:r>
      <w:r>
        <w:rPr>
          <w:rFonts w:hint="eastAsia" w:ascii="仿宋_GB2312" w:hAnsi="仿宋_GB2312" w:eastAsia="仿宋_GB2312" w:cs="仿宋_GB2312"/>
          <w:color w:val="000000"/>
          <w:sz w:val="32"/>
          <w:szCs w:val="32"/>
          <w:shd w:val="clear" w:color="auto" w:fill="FFFFFF"/>
        </w:rPr>
        <w:t>赛改革试点赛，获</w:t>
      </w:r>
      <w:r>
        <w:rPr>
          <w:rFonts w:hint="eastAsia" w:ascii="仿宋_GB2312" w:hAnsi="仿宋_GB2312" w:eastAsia="仿宋_GB2312" w:cs="仿宋_GB2312"/>
          <w:color w:val="000000"/>
          <w:sz w:val="32"/>
          <w:szCs w:val="32"/>
        </w:rPr>
        <w:t>国赛一等奖1项</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区赛一等奖4项、二等奖2项、三等奖4项。此外</w:t>
      </w:r>
      <w:r>
        <w:rPr>
          <w:rFonts w:hint="eastAsia" w:ascii="仿宋_GB2312" w:hAnsi="仿宋_GB2312" w:eastAsia="仿宋_GB2312" w:cs="仿宋_GB2312"/>
          <w:color w:val="000000"/>
          <w:sz w:val="32"/>
          <w:szCs w:val="32"/>
          <w:shd w:val="clear" w:color="auto" w:fill="FFFFFF"/>
        </w:rPr>
        <w:t>，组织学生参加由团中央、教育部、中国科协、全国学联等联合主办第十二届“挑战杯”中国大学生创业计划竞赛获得“金奖”2项。</w:t>
      </w:r>
      <w:bookmarkEnd w:id="29"/>
    </w:p>
    <w:p>
      <w:pPr>
        <w:pageBreakBefore w:val="0"/>
        <w:kinsoku/>
        <w:wordWrap/>
        <w:overflowPunct/>
        <w:topLinePunct w:val="0"/>
        <w:bidi w:val="0"/>
        <w:spacing w:line="560" w:lineRule="exact"/>
        <w:ind w:left="0" w:leftChars="0" w:right="0" w:rightChars="0" w:firstLine="321" w:firstLineChars="100"/>
        <w:textAlignment w:val="auto"/>
        <w:rPr>
          <w:rFonts w:hint="eastAsia" w:ascii="仿宋_GB2312" w:hAnsi="仿宋_GB2312" w:eastAsia="仿宋_GB2312" w:cs="仿宋_GB2312"/>
          <w:b/>
          <w:bCs/>
          <w:color w:val="auto"/>
          <w:kern w:val="2"/>
          <w:sz w:val="32"/>
          <w:szCs w:val="32"/>
          <w:shd w:val="clear" w:color="auto" w:fill="FFFFFF"/>
        </w:rPr>
      </w:pPr>
      <w:r>
        <w:rPr>
          <w:rFonts w:hint="default" w:ascii="仿宋_GB2312" w:hAnsi="仿宋_GB2312" w:cs="仿宋_GB2312"/>
          <w:b/>
          <w:bCs/>
          <w:color w:val="000000"/>
          <w:sz w:val="32"/>
          <w:szCs w:val="32"/>
          <w:shd w:val="clear" w:color="auto" w:fill="FFFFFF"/>
        </w:rPr>
        <w:t>（2）</w:t>
      </w:r>
      <w:r>
        <w:rPr>
          <w:rFonts w:hint="eastAsia" w:ascii="仿宋_GB2312" w:hAnsi="仿宋_GB2312" w:cs="仿宋_GB2312"/>
          <w:b/>
          <w:bCs/>
          <w:color w:val="000000"/>
          <w:sz w:val="32"/>
          <w:szCs w:val="32"/>
          <w:shd w:val="clear" w:color="auto" w:fill="FFFFFF"/>
          <w:lang w:val="en-US" w:eastAsia="zh-Hans"/>
        </w:rPr>
        <w:t>在</w:t>
      </w:r>
      <w:r>
        <w:rPr>
          <w:rFonts w:hint="eastAsia" w:ascii="仿宋_GB2312" w:hAnsi="仿宋_GB2312" w:eastAsia="仿宋_GB2312" w:cs="仿宋_GB2312"/>
          <w:b/>
          <w:bCs/>
          <w:color w:val="auto"/>
          <w:kern w:val="2"/>
          <w:sz w:val="32"/>
          <w:szCs w:val="32"/>
          <w:shd w:val="clear" w:color="auto" w:fill="FFFFFF"/>
        </w:rPr>
        <w:t>创新创业竞赛，取得了丰硕成果</w:t>
      </w:r>
    </w:p>
    <w:p>
      <w:pPr>
        <w:pStyle w:val="12"/>
        <w:pageBreakBefore w:val="0"/>
        <w:widowControl w:val="0"/>
        <w:kinsoku/>
        <w:wordWrap/>
        <w:overflowPunct/>
        <w:topLinePunct w:val="0"/>
        <w:bidi w:val="0"/>
        <w:adjustRightInd w:val="0"/>
        <w:spacing w:before="0" w:beforeAutospacing="0" w:after="0" w:afterAutospacing="0" w:line="560" w:lineRule="exact"/>
        <w:ind w:right="0" w:rightChars="0" w:firstLine="640"/>
        <w:jc w:val="both"/>
        <w:textAlignment w:val="auto"/>
        <w:rPr>
          <w:rFonts w:hint="eastAsia" w:ascii="仿宋_GB2312" w:hAnsi="仿宋_GB2312" w:eastAsia="仿宋_GB2312" w:cs="仿宋_GB2312"/>
          <w:bCs/>
          <w:color w:val="auto"/>
          <w:kern w:val="2"/>
          <w:sz w:val="32"/>
          <w:szCs w:val="32"/>
        </w:rPr>
      </w:pPr>
      <w:r>
        <w:rPr>
          <w:rFonts w:hint="eastAsia" w:ascii="仿宋_GB2312" w:hAnsi="仿宋_GB2312" w:eastAsia="仿宋_GB2312" w:cs="仿宋_GB2312"/>
          <w:bCs/>
          <w:color w:val="auto"/>
          <w:kern w:val="2"/>
          <w:sz w:val="32"/>
          <w:szCs w:val="32"/>
        </w:rPr>
        <w:t>一是荣获第六届中国国际“互联网+”大学生创新创业大赛广西赛区选拔赛“职教赛道优秀组织奖”；</w:t>
      </w:r>
    </w:p>
    <w:p>
      <w:pPr>
        <w:pStyle w:val="12"/>
        <w:pageBreakBefore w:val="0"/>
        <w:widowControl w:val="0"/>
        <w:kinsoku/>
        <w:wordWrap/>
        <w:overflowPunct/>
        <w:topLinePunct w:val="0"/>
        <w:bidi w:val="0"/>
        <w:adjustRightInd w:val="0"/>
        <w:spacing w:before="0" w:beforeAutospacing="0" w:after="0" w:afterAutospacing="0" w:line="560" w:lineRule="exact"/>
        <w:ind w:right="0" w:rightChars="0" w:firstLine="640"/>
        <w:jc w:val="both"/>
        <w:textAlignment w:val="auto"/>
        <w:rPr>
          <w:rFonts w:hint="eastAsia" w:ascii="仿宋_GB2312" w:hAnsi="仿宋_GB2312" w:eastAsia="仿宋_GB2312" w:cs="仿宋_GB2312"/>
          <w:bCs/>
          <w:color w:val="auto"/>
          <w:kern w:val="2"/>
          <w:sz w:val="32"/>
          <w:szCs w:val="32"/>
        </w:rPr>
      </w:pPr>
      <w:r>
        <w:rPr>
          <w:rFonts w:hint="eastAsia" w:ascii="仿宋_GB2312" w:hAnsi="仿宋_GB2312" w:eastAsia="仿宋_GB2312" w:cs="仿宋_GB2312"/>
          <w:bCs/>
          <w:color w:val="auto"/>
          <w:kern w:val="2"/>
          <w:sz w:val="32"/>
          <w:szCs w:val="32"/>
        </w:rPr>
        <w:t>二是荣获第三届广西中华职业教育创新创业大赛暨第四届中华职业教育创新创业大赛广西区赛“优秀组织奖”</w:t>
      </w:r>
      <w:r>
        <w:rPr>
          <w:rFonts w:hint="default" w:ascii="仿宋_GB2312" w:hAnsi="仿宋_GB2312" w:eastAsia="仿宋_GB2312" w:cs="仿宋_GB2312"/>
          <w:bCs/>
          <w:color w:val="auto"/>
          <w:kern w:val="2"/>
          <w:sz w:val="32"/>
          <w:szCs w:val="32"/>
        </w:rPr>
        <w:t>；</w:t>
      </w:r>
    </w:p>
    <w:p>
      <w:pPr>
        <w:pStyle w:val="12"/>
        <w:pageBreakBefore w:val="0"/>
        <w:widowControl w:val="0"/>
        <w:kinsoku/>
        <w:wordWrap/>
        <w:overflowPunct/>
        <w:topLinePunct w:val="0"/>
        <w:bidi w:val="0"/>
        <w:adjustRightInd w:val="0"/>
        <w:spacing w:before="0" w:beforeAutospacing="0" w:after="0" w:afterAutospacing="0" w:line="560" w:lineRule="exact"/>
        <w:ind w:right="0" w:rightChars="0" w:firstLine="640"/>
        <w:jc w:val="both"/>
        <w:textAlignment w:val="auto"/>
        <w:rPr>
          <w:rFonts w:hint="eastAsia" w:ascii="仿宋_GB2312" w:hAnsi="仿宋_GB2312" w:eastAsia="仿宋_GB2312" w:cs="仿宋_GB2312"/>
          <w:bCs/>
          <w:color w:val="auto"/>
          <w:kern w:val="2"/>
          <w:sz w:val="32"/>
          <w:szCs w:val="32"/>
        </w:rPr>
      </w:pPr>
      <w:r>
        <w:rPr>
          <w:rFonts w:hint="eastAsia" w:ascii="仿宋_GB2312" w:hAnsi="仿宋_GB2312" w:eastAsia="仿宋_GB2312" w:cs="仿宋_GB2312"/>
          <w:bCs/>
          <w:color w:val="auto"/>
          <w:kern w:val="2"/>
          <w:sz w:val="32"/>
          <w:szCs w:val="32"/>
        </w:rPr>
        <w:t>三是荣获2020年南宁市创业大赛“优秀组织奖”等三个集体荣誉</w:t>
      </w:r>
      <w:r>
        <w:rPr>
          <w:rFonts w:hint="default" w:ascii="仿宋_GB2312" w:hAnsi="仿宋_GB2312" w:eastAsia="仿宋_GB2312" w:cs="仿宋_GB2312"/>
          <w:bCs/>
          <w:color w:val="auto"/>
          <w:kern w:val="2"/>
          <w:sz w:val="32"/>
          <w:szCs w:val="32"/>
        </w:rPr>
        <w:t>；</w:t>
      </w:r>
    </w:p>
    <w:p>
      <w:pPr>
        <w:pStyle w:val="12"/>
        <w:pageBreakBefore w:val="0"/>
        <w:widowControl w:val="0"/>
        <w:kinsoku/>
        <w:wordWrap/>
        <w:overflowPunct/>
        <w:topLinePunct w:val="0"/>
        <w:bidi w:val="0"/>
        <w:adjustRightInd w:val="0"/>
        <w:spacing w:before="0" w:beforeAutospacing="0" w:after="0" w:afterAutospacing="0" w:line="560" w:lineRule="exact"/>
        <w:ind w:right="0" w:rightChars="0" w:firstLine="640"/>
        <w:jc w:val="both"/>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Cs/>
          <w:color w:val="auto"/>
          <w:kern w:val="2"/>
          <w:sz w:val="32"/>
          <w:szCs w:val="32"/>
        </w:rPr>
        <w:t>四是获第六届中国国际“互联网+”大学生创新创业大赛广西赛区选拔赛金奖项目1个、第三届广西中华职业教育创新创业大赛暨第四届中华职业教育创新创业大赛广西区赛金奖1项、南宁市创业大赛金奖1项。实现了我校在“互联网+”大学生创新创业大赛、中华职业教育创新创业大赛区赛舞台“0金奖”的突破。</w:t>
      </w:r>
    </w:p>
    <w:p>
      <w:pPr>
        <w:pageBreakBefore w:val="0"/>
        <w:numPr>
          <w:ilvl w:val="0"/>
          <w:numId w:val="0"/>
        </w:numPr>
        <w:kinsoku/>
        <w:wordWrap/>
        <w:overflowPunct/>
        <w:topLinePunct w:val="0"/>
        <w:autoSpaceDE/>
        <w:autoSpaceDN/>
        <w:bidi w:val="0"/>
        <w:spacing w:line="560" w:lineRule="exact"/>
        <w:ind w:firstLine="321" w:firstLineChars="100"/>
        <w:textAlignment w:val="auto"/>
        <w:rPr>
          <w:rFonts w:hint="eastAsia" w:ascii="仿宋_GB2312" w:hAnsi="仿宋_GB2312" w:cs="仿宋_GB2312"/>
          <w:b/>
          <w:bCs w:val="0"/>
          <w:color w:val="auto"/>
          <w:sz w:val="32"/>
          <w:szCs w:val="32"/>
          <w:lang w:eastAsia="zh-CN"/>
        </w:rPr>
      </w:pPr>
      <w:r>
        <w:rPr>
          <w:rFonts w:hint="eastAsia" w:ascii="仿宋_GB2312" w:hAnsi="仿宋_GB2312" w:cs="仿宋_GB2312"/>
          <w:b/>
          <w:bCs w:val="0"/>
          <w:color w:val="auto"/>
          <w:sz w:val="32"/>
          <w:szCs w:val="32"/>
          <w:lang w:eastAsia="zh-CN"/>
        </w:rPr>
        <w:t>（</w:t>
      </w:r>
      <w:r>
        <w:rPr>
          <w:rFonts w:hint="eastAsia" w:ascii="仿宋_GB2312" w:hAnsi="仿宋_GB2312" w:cs="仿宋_GB2312"/>
          <w:b/>
          <w:bCs w:val="0"/>
          <w:color w:val="auto"/>
          <w:sz w:val="32"/>
          <w:szCs w:val="32"/>
          <w:lang w:val="en-US" w:eastAsia="zh-CN"/>
        </w:rPr>
        <w:t>3</w:t>
      </w:r>
      <w:r>
        <w:rPr>
          <w:rFonts w:hint="eastAsia" w:ascii="仿宋_GB2312" w:hAnsi="仿宋_GB2312" w:cs="仿宋_GB2312"/>
          <w:b/>
          <w:bCs w:val="0"/>
          <w:color w:val="auto"/>
          <w:sz w:val="32"/>
          <w:szCs w:val="32"/>
          <w:lang w:eastAsia="zh-CN"/>
        </w:rPr>
        <w:t>）学生活动成效明显</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Heiti SC Medium" w:hAnsi="Heiti SC Medium" w:eastAsia="Heiti SC Medium" w:cs="Heiti SC Medium"/>
          <w:b/>
          <w:bCs w:val="0"/>
          <w:color w:val="auto"/>
          <w:sz w:val="32"/>
          <w:szCs w:val="32"/>
          <w:lang w:eastAsia="zh-CN"/>
        </w:rPr>
      </w:pPr>
      <w:r>
        <w:rPr>
          <w:rFonts w:hint="eastAsia" w:ascii="仿宋_GB2312" w:hAnsi="仿宋_GB2312" w:eastAsia="仿宋_GB2312" w:cs="仿宋_GB2312"/>
          <w:b w:val="0"/>
          <w:bCs/>
          <w:color w:val="auto"/>
          <w:sz w:val="32"/>
          <w:szCs w:val="32"/>
          <w:lang w:eastAsia="zh-CN"/>
        </w:rPr>
        <w:t>获</w:t>
      </w:r>
      <w:r>
        <w:rPr>
          <w:rFonts w:hint="eastAsia" w:ascii="仿宋_GB2312" w:hAnsi="仿宋_GB2312" w:eastAsia="仿宋_GB2312" w:cs="仿宋_GB2312"/>
          <w:color w:val="000000" w:themeColor="text1"/>
          <w:sz w:val="32"/>
          <w:szCs w:val="32"/>
          <w14:textFill>
            <w14:solidFill>
              <w14:schemeClr w14:val="tx1"/>
            </w14:solidFill>
          </w14:textFill>
        </w:rPr>
        <w:t>全国易班共建高校优秀工作案例展示和“优秀易班学生工作站”称号、2020年全区高校“助学、铸诚、筑梦”主题微视频一等奖第一名和二等奖第一名、第七届全区大学生网络文化节动漫作品动画短片类二等奖、摄影作品类三等奖。</w:t>
      </w:r>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rPr>
      </w:pPr>
      <w:bookmarkStart w:id="30" w:name="_Toc1948"/>
      <w:r>
        <w:rPr>
          <w:rFonts w:hint="eastAsia"/>
          <w:lang w:eastAsia="zh-CN"/>
        </w:rPr>
        <w:t>二、</w:t>
      </w:r>
      <w:r>
        <w:rPr>
          <w:rFonts w:hint="eastAsia"/>
        </w:rPr>
        <w:t>学生发展</w:t>
      </w:r>
      <w:bookmarkEnd w:id="15"/>
      <w:bookmarkEnd w:id="16"/>
      <w:bookmarkEnd w:id="30"/>
    </w:p>
    <w:p>
      <w:pPr>
        <w:pStyle w:val="4"/>
        <w:keepNext/>
        <w:keepLines/>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bookmarkStart w:id="31" w:name="_Toc20509"/>
      <w:r>
        <w:rPr>
          <w:rFonts w:hint="eastAsia"/>
          <w:lang w:val="en-US" w:eastAsia="zh-CN"/>
        </w:rPr>
        <w:t>（一）立德树人</w:t>
      </w:r>
      <w:bookmarkEnd w:id="31"/>
    </w:p>
    <w:p>
      <w:pPr>
        <w:pStyle w:val="5"/>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b/>
          <w:bCs/>
          <w:color w:val="auto"/>
          <w:szCs w:val="32"/>
          <w:lang w:val="en-US" w:eastAsia="zh-CN"/>
        </w:rPr>
      </w:pPr>
      <w:bookmarkStart w:id="32" w:name="_Toc20749"/>
      <w:r>
        <w:rPr>
          <w:rFonts w:hint="eastAsia" w:ascii="仿宋_GB2312" w:hAnsi="仿宋_GB2312" w:eastAsia="仿宋_GB2312" w:cs="仿宋_GB2312"/>
          <w:lang w:val="en-US" w:eastAsia="zh-CN"/>
        </w:rPr>
        <w:t>1.学生思想政治教育</w:t>
      </w:r>
      <w:bookmarkEnd w:id="32"/>
    </w:p>
    <w:p>
      <w:pPr>
        <w:pageBreakBefore w:val="0"/>
        <w:widowControl w:val="0"/>
        <w:kinsoku/>
        <w:wordWrap/>
        <w:overflowPunct/>
        <w:topLinePunct w:val="0"/>
        <w:autoSpaceDE/>
        <w:autoSpaceDN/>
        <w:bidi w:val="0"/>
        <w:adjustRightInd/>
        <w:snapToGrid/>
        <w:spacing w:line="0" w:lineRule="atLeast"/>
        <w:ind w:left="0" w:leftChars="0" w:right="0" w:rightChars="0" w:firstLine="482" w:firstLineChars="150"/>
        <w:textAlignment w:val="auto"/>
        <w:rPr>
          <w:rFonts w:hint="eastAsia" w:ascii="仿宋_GB2312" w:hAnsi="仿宋_GB2312" w:eastAsia="仿宋_GB2312" w:cs="仿宋_GB2312"/>
          <w:b/>
          <w:bCs/>
          <w:color w:val="auto"/>
          <w:sz w:val="32"/>
          <w:szCs w:val="32"/>
          <w:highlight w:val="none"/>
          <w:lang w:val="en-US" w:eastAsia="zh-CN"/>
        </w:rPr>
      </w:pPr>
      <w:bookmarkStart w:id="33" w:name="_Toc437380306"/>
      <w:bookmarkStart w:id="34" w:name="_Toc23533"/>
      <w:r>
        <w:rPr>
          <w:rFonts w:hint="eastAsia" w:ascii="仿宋_GB2312" w:hAnsi="仿宋_GB2312" w:eastAsia="仿宋_GB2312" w:cs="仿宋_GB2312"/>
          <w:b/>
          <w:bCs/>
          <w:color w:val="auto"/>
          <w:sz w:val="32"/>
          <w:szCs w:val="32"/>
          <w:highlight w:val="none"/>
          <w:lang w:val="en-US" w:eastAsia="zh-CN"/>
        </w:rPr>
        <w:t>（1）全面推进“三进”行动计划</w:t>
      </w:r>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严格按照“毛泽东思想和中国特色社会主义理论体系概论”课4学分（64课时）、“思想道德修养与法律基础”课3学分（48课时）、“形势与政策”课1学分（18课时）的教学基本要求严格落实学分和学时，并积极开设《习近平新时代中国特色主义思想概论》课和“四史”教育选修课，丰富思政课程体系。</w:t>
      </w:r>
    </w:p>
    <w:p>
      <w:pPr>
        <w:pageBreakBefore w:val="0"/>
        <w:kinsoku/>
        <w:wordWrap/>
        <w:overflowPunct/>
        <w:topLinePunct w:val="0"/>
        <w:bidi w:val="0"/>
        <w:spacing w:line="560" w:lineRule="exact"/>
        <w:ind w:left="0" w:leftChars="0" w:right="0" w:rightChars="0" w:firstLine="321" w:firstLineChars="1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（2）集体备课，精准挖掘，筑牢思政课程育人“云高地”</w:t>
      </w:r>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马克思主义学院完善了以教研室为单位开展的群策群力、集思广益、课件共建、智慧共享的集体备课制度，及时总结归纳了教学重难点、及时更新了教学课件与教案，有效促进了我院思政课程的建设质量。在线上教学期间，结合疫情防控战，打造思政大课堂，夯实思想政治理论课主阵地、主渠道，为我校一万余名青年学子上好有滋有味的线上思政课做了充足的准备。思政课教师细化任务，多次线上集体备课，精心录制微课教学视频，收集运用抗击疫情的鲜活事例作为教学案例，充分挖掘疫情防控过程中育人元素，转化为思政课的教学素材和教学课件，完善教学测试题库，不断丰富和完善“学习通”平台思想政治理论课教学资源，实现师生“小课堂”和社会“大课堂”同频共振。另外，学生进行线上学习，教师紧扣教材内容有针对性的指导学生开展实践作业，如，春耕感悟劳动教育、防疫中的村民行动、农村乡野调查、感悟大自然等各种实践活动主题，学生收获满满。此外，马克思主义学院牵头举办了广西高校思政课共建活动第六小组线上集体备课会，围绕“线上教学”进行了深入探讨并分享经验，得到一致好评。</w:t>
      </w:r>
    </w:p>
    <w:p>
      <w:pPr>
        <w:pageBreakBefore w:val="0"/>
        <w:kinsoku/>
        <w:wordWrap/>
        <w:overflowPunct/>
        <w:topLinePunct w:val="0"/>
        <w:bidi w:val="0"/>
        <w:spacing w:line="560" w:lineRule="exact"/>
        <w:ind w:left="0" w:leftChars="0" w:right="0" w:rightChars="0" w:firstLine="321" w:firstLineChars="1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（3）打造系列思政微课，讲好中国战“疫”故事</w:t>
      </w:r>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马克思主义学院深入挖掘疫情防控中生动感人的育人元素，讲好各条战线在疫情防控工作中涌现出来的先进典型及成功经验，把“线上课堂”与“抗击疫情”有机结合，整理制作战疫专题教育素材，制作整理了系列微课，包括《战疫之盾—中国精神护神州》、《党旗在疫情防控斗争第一线高高飘扬》、《从战“疫”中—认识了解社区医院》、《金句来习</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不获全胜绝不轻言成功—写好“大考”中的广西答卷》等，为师生正确认识疫情防控阻击战提供思想力量和价值指向，生动彰显中国特色社会主义集中力量办大事的独特制度优势，引导学生增强“四个意识”、 坚定“四个自信”、做到“两个维护”，增强对习近平新时代中国特色社会主义思想的情感认同。为保证教学实效性，针对线上教学开展了满意度调查，结果显示，学习满意度很高，彰显了线上教学实效。</w:t>
      </w:r>
    </w:p>
    <w:p>
      <w:pPr>
        <w:pageBreakBefore w:val="0"/>
        <w:kinsoku/>
        <w:wordWrap/>
        <w:overflowPunct/>
        <w:topLinePunct w:val="0"/>
        <w:bidi w:val="0"/>
        <w:spacing w:line="560" w:lineRule="exact"/>
        <w:ind w:left="0" w:leftChars="0" w:right="0" w:rightChars="0" w:firstLine="321" w:firstLineChars="1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（4）创新思政课实践教学新模式</w:t>
      </w:r>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马克思主义学院完善思政课实践教学模式、大力开展形式多样的思政课实践教学活动，有效地推动大学生政治理论学习热情。其中，举办结对共建高校（马克思主义学院、思政部）大学生讲思政课活动比赛；大学生微电影展示；组织学生赴桂林湘江战役纪念馆开展实践主题教育活动等。结合思政课实践教学，拍摄以脱贫攻坚为主题的微电影《为有源头活水来》，讲述大学生在脱贫攻坚的时代主题中对于人生道路选择的故事。该作品在2020年全区高校领航计划（微电影展示）活动中荣获二等奖，并成功入围全国高校领航计划比赛（全区共有10部作品入围）。</w:t>
      </w:r>
    </w:p>
    <w:p>
      <w:pPr>
        <w:pageBreakBefore w:val="0"/>
        <w:kinsoku/>
        <w:wordWrap/>
        <w:overflowPunct/>
        <w:topLinePunct w:val="0"/>
        <w:bidi w:val="0"/>
        <w:spacing w:line="560" w:lineRule="exact"/>
        <w:ind w:left="0" w:leftChars="0" w:right="0" w:rightChars="0" w:firstLine="321" w:firstLineChars="1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（5）推动思政教育与专业教学“相向同行”</w:t>
      </w:r>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在推进学校课程思政工作中，思政课教师积极配合专业课教师，结合专业课程和专业特点，对学生进行积极正确的思想价值引领。努力实现思政课教师主讲的“思政课程”与专业课教师主导的“课程思政”二者导向有机结合、效用相互配合，形成思政课程与“课程思政”同向同行、共同发力、形成合力的大思政格局。</w:t>
      </w:r>
    </w:p>
    <w:p>
      <w:pPr>
        <w:pageBreakBefore w:val="0"/>
        <w:kinsoku/>
        <w:wordWrap/>
        <w:overflowPunct/>
        <w:topLinePunct w:val="0"/>
        <w:autoSpaceDE/>
        <w:autoSpaceDN/>
        <w:bidi w:val="0"/>
        <w:spacing w:line="560" w:lineRule="exact"/>
        <w:ind w:left="0" w:leftChars="0" w:firstLine="321" w:firstLineChars="100"/>
        <w:textAlignment w:val="auto"/>
        <w:rPr>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cs="仿宋_GB2312"/>
          <w:b/>
          <w:bCs/>
          <w:color w:val="000000" w:themeColor="text1"/>
          <w:sz w:val="32"/>
          <w:szCs w:val="32"/>
          <w:lang w:eastAsia="zh-CN"/>
          <w14:textFill>
            <w14:solidFill>
              <w14:schemeClr w14:val="tx1"/>
            </w14:solidFill>
          </w14:textFill>
        </w:rPr>
        <w:t>（</w:t>
      </w:r>
      <w:r>
        <w:rPr>
          <w:rFonts w:hint="eastAsia" w:ascii="仿宋_GB2312" w:hAnsi="仿宋_GB2312" w:cs="仿宋_GB2312"/>
          <w:b/>
          <w:bCs/>
          <w:color w:val="000000" w:themeColor="text1"/>
          <w:sz w:val="32"/>
          <w:szCs w:val="32"/>
          <w:lang w:val="en-US" w:eastAsia="zh-CN"/>
          <w14:textFill>
            <w14:solidFill>
              <w14:schemeClr w14:val="tx1"/>
            </w14:solidFill>
          </w14:textFill>
        </w:rPr>
        <w:t>6</w:t>
      </w:r>
      <w:r>
        <w:rPr>
          <w:rFonts w:hint="eastAsia" w:ascii="仿宋_GB2312" w:hAnsi="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强化爱国主义硬核力量，激发爱国情和报国志，</w:t>
      </w:r>
      <w:r>
        <w:rPr>
          <w:rStyle w:val="16"/>
          <w:rFonts w:hint="eastAsia" w:ascii="仿宋_GB2312" w:hAnsi="仿宋_GB2312" w:eastAsia="仿宋_GB2312" w:cs="仿宋_GB2312"/>
          <w:b/>
          <w:bCs/>
          <w:color w:val="000000" w:themeColor="text1"/>
          <w:sz w:val="32"/>
          <w:szCs w:val="32"/>
          <w14:textFill>
            <w14:solidFill>
              <w14:schemeClr w14:val="tx1"/>
            </w14:solidFill>
          </w14:textFill>
        </w:rPr>
        <w:t>营造勤奋向上的学习氛围</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将全国“两会”、全国战“疫”一盘棋精神等融入日常学生思政教育工作，唱响爱国主旋律；邀请学院领导作专题讲座，组织开展党史知识竞赛、新生入党启蒙教育、爱国红船主题教育等系列活动，让爱国爱党成为每个学生的坚定信念；加强大学生征兵宣传教育，超额完成自治区年度征兵任务；充分发挥班会课作为思想教育的主阵地作用，及时掌握学生的思想和学习动态，引导学生端正学习态度，明确学习目的，全面提高学生学习主动性和积极性，打造具有我校鲜明特色的学风氛围。</w:t>
      </w:r>
    </w:p>
    <w:p>
      <w:pPr>
        <w:pStyle w:val="5"/>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lang w:val="en-US" w:eastAsia="zh-CN"/>
        </w:rPr>
      </w:pPr>
      <w:bookmarkStart w:id="35" w:name="_Toc3151"/>
      <w:r>
        <w:rPr>
          <w:rFonts w:hint="eastAsia" w:ascii="仿宋_GB2312" w:hAnsi="仿宋_GB2312" w:eastAsia="仿宋_GB2312" w:cs="仿宋_GB2312"/>
          <w:lang w:val="en-US" w:eastAsia="zh-CN"/>
        </w:rPr>
        <w:t>2.学生综合素质教育</w:t>
      </w:r>
      <w:bookmarkEnd w:id="35"/>
    </w:p>
    <w:p>
      <w:pPr>
        <w:pStyle w:val="3"/>
        <w:pageBreakBefore w:val="0"/>
        <w:widowControl w:val="0"/>
        <w:kinsoku/>
        <w:wordWrap/>
        <w:overflowPunct/>
        <w:topLinePunct w:val="0"/>
        <w:autoSpaceDE/>
        <w:autoSpaceDN/>
        <w:bidi w:val="0"/>
        <w:adjustRightInd/>
        <w:snapToGrid/>
        <w:spacing w:line="0" w:lineRule="atLeast"/>
        <w:ind w:left="0" w:leftChars="0" w:right="0" w:rightChars="0" w:firstLine="321" w:firstLineChars="100"/>
        <w:textAlignment w:val="auto"/>
        <w:rPr>
          <w:rFonts w:hint="eastAsia" w:ascii="仿宋_GB2312" w:hAnsi="仿宋_GB2312" w:eastAsia="仿宋_GB2312" w:cs="仿宋_GB2312"/>
          <w:bCs w:val="0"/>
          <w:color w:val="000000"/>
          <w:kern w:val="2"/>
          <w:sz w:val="32"/>
          <w:szCs w:val="32"/>
        </w:rPr>
      </w:pPr>
      <w:bookmarkStart w:id="36" w:name="_Toc30723"/>
      <w:bookmarkStart w:id="37" w:name="_Toc24767"/>
      <w:bookmarkStart w:id="38" w:name="_Toc25073"/>
      <w:bookmarkStart w:id="39" w:name="_Toc9548"/>
      <w:r>
        <w:rPr>
          <w:rFonts w:hint="default" w:ascii="仿宋_GB2312" w:hAnsi="仿宋_GB2312" w:eastAsia="仿宋_GB2312" w:cs="仿宋_GB2312"/>
          <w:bCs w:val="0"/>
          <w:color w:val="000000"/>
          <w:kern w:val="2"/>
          <w:sz w:val="32"/>
          <w:szCs w:val="32"/>
        </w:rPr>
        <w:t>（1）</w:t>
      </w:r>
      <w:r>
        <w:rPr>
          <w:rFonts w:hint="eastAsia" w:ascii="仿宋_GB2312" w:hAnsi="仿宋_GB2312" w:eastAsia="仿宋_GB2312" w:cs="仿宋_GB2312"/>
          <w:bCs w:val="0"/>
          <w:color w:val="000000"/>
          <w:kern w:val="2"/>
          <w:sz w:val="32"/>
          <w:szCs w:val="32"/>
        </w:rPr>
        <w:t>构建“弘扬传统文化</w:t>
      </w:r>
      <w:r>
        <w:rPr>
          <w:rFonts w:hint="eastAsia" w:ascii="仿宋_GB2312" w:hAnsi="仿宋_GB2312" w:eastAsia="仿宋_GB2312" w:cs="仿宋_GB2312"/>
          <w:bCs w:val="0"/>
          <w:color w:val="000000"/>
          <w:kern w:val="2"/>
          <w:sz w:val="32"/>
          <w:szCs w:val="32"/>
          <w:lang w:eastAsia="zh-CN"/>
        </w:rPr>
        <w:t>，</w:t>
      </w:r>
      <w:r>
        <w:rPr>
          <w:rFonts w:hint="eastAsia" w:ascii="仿宋_GB2312" w:hAnsi="仿宋_GB2312" w:eastAsia="仿宋_GB2312" w:cs="仿宋_GB2312"/>
          <w:bCs w:val="0"/>
          <w:color w:val="000000"/>
          <w:kern w:val="2"/>
          <w:sz w:val="32"/>
          <w:szCs w:val="32"/>
        </w:rPr>
        <w:t>厚植家国情怀”多类型的通识课程框架，培育学生核心素养</w:t>
      </w:r>
      <w:bookmarkEnd w:id="36"/>
      <w:bookmarkEnd w:id="37"/>
      <w:bookmarkEnd w:id="38"/>
      <w:bookmarkEnd w:id="39"/>
    </w:p>
    <w:p>
      <w:pPr>
        <w:pStyle w:val="12"/>
        <w:pageBreakBefore w:val="0"/>
        <w:shd w:val="clear" w:color="auto" w:fill="FFFFFF"/>
        <w:kinsoku/>
        <w:wordWrap/>
        <w:overflowPunct/>
        <w:topLinePunct w:val="0"/>
        <w:bidi w:val="0"/>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lang w:val="en-US" w:eastAsia="zh-Hans"/>
        </w:rPr>
        <w:t>一是</w:t>
      </w:r>
      <w:r>
        <w:rPr>
          <w:rFonts w:hint="eastAsia" w:ascii="仿宋_GB2312" w:hAnsi="仿宋_GB2312" w:eastAsia="仿宋_GB2312" w:cs="仿宋_GB2312"/>
          <w:color w:val="000000"/>
          <w:kern w:val="2"/>
          <w:sz w:val="32"/>
          <w:szCs w:val="32"/>
        </w:rPr>
        <w:t>普及关爱生命、健康安全知识。组织全校学生学习《新冠肺炎公益课》《毒品与艾滋病预防》，普及新冠肺炎、毒品、艾滋病的知识，提高学生防控防范意识。</w:t>
      </w:r>
    </w:p>
    <w:p>
      <w:pPr>
        <w:pStyle w:val="12"/>
        <w:pageBreakBefore w:val="0"/>
        <w:shd w:val="clear" w:color="auto" w:fill="FFFFFF"/>
        <w:kinsoku/>
        <w:wordWrap/>
        <w:overflowPunct/>
        <w:topLinePunct w:val="0"/>
        <w:bidi w:val="0"/>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lang w:val="en-US" w:eastAsia="zh-Hans"/>
        </w:rPr>
        <w:t>二是</w:t>
      </w:r>
      <w:r>
        <w:rPr>
          <w:rFonts w:hint="eastAsia" w:ascii="仿宋_GB2312" w:hAnsi="仿宋_GB2312" w:eastAsia="仿宋_GB2312" w:cs="仿宋_GB2312"/>
          <w:color w:val="000000"/>
          <w:kern w:val="2"/>
          <w:sz w:val="32"/>
          <w:szCs w:val="32"/>
        </w:rPr>
        <w:t>传承优秀传统文化，实施《中华优秀传统文化》系列课程教育。课程覆盖全体学生，让学生全面了解和认识中华传统文化、中华传统文化中的优秀基因和合理成分、中华优秀传统文化的主要特征和主要内容，增强学生文化自信。下一步将把中华优秀传统文化全方位融入思想道德教育、文化知识教育、艺术体育教育、社会实践教育各环节，贯穿于人才培养全过程。</w:t>
      </w:r>
    </w:p>
    <w:p>
      <w:pPr>
        <w:pStyle w:val="12"/>
        <w:pageBreakBefore w:val="0"/>
        <w:shd w:val="clear" w:color="auto" w:fill="FFFFFF"/>
        <w:kinsoku/>
        <w:wordWrap/>
        <w:overflowPunct/>
        <w:topLinePunct w:val="0"/>
        <w:bidi w:val="0"/>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lang w:val="en-US" w:eastAsia="zh-Hans"/>
        </w:rPr>
        <w:t>三是</w:t>
      </w:r>
      <w:r>
        <w:rPr>
          <w:rFonts w:hint="eastAsia" w:ascii="仿宋_GB2312" w:hAnsi="仿宋_GB2312" w:eastAsia="仿宋_GB2312" w:cs="仿宋_GB2312"/>
          <w:color w:val="000000"/>
          <w:kern w:val="2"/>
          <w:sz w:val="32"/>
          <w:szCs w:val="32"/>
        </w:rPr>
        <w:t>组织研发校本课程，重点打造以学生的需求、兴趣为出发点、以满足学生发展需求为目标的校本课程体系，如《民族工艺品创新设计》《中国文化系列课程》《数学实验》《数学模型》《书法鉴赏》《大学生实用法律》《朋辈心理健康》等课程，促进学生实践创新能力形成。</w:t>
      </w:r>
    </w:p>
    <w:p>
      <w:pPr>
        <w:pStyle w:val="12"/>
        <w:pageBreakBefore w:val="0"/>
        <w:shd w:val="clear" w:color="auto" w:fill="FFFFFF"/>
        <w:kinsoku/>
        <w:wordWrap/>
        <w:overflowPunct/>
        <w:topLinePunct w:val="0"/>
        <w:bidi w:val="0"/>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2"/>
          <w:sz w:val="32"/>
          <w:szCs w:val="32"/>
          <w:lang w:val="en-US" w:eastAsia="zh-Hans"/>
        </w:rPr>
        <w:t>四是</w:t>
      </w:r>
      <w:r>
        <w:rPr>
          <w:rFonts w:hint="eastAsia" w:ascii="仿宋_GB2312" w:hAnsi="仿宋_GB2312" w:eastAsia="仿宋_GB2312" w:cs="仿宋_GB2312"/>
          <w:color w:val="000000"/>
          <w:kern w:val="2"/>
          <w:sz w:val="32"/>
          <w:szCs w:val="32"/>
        </w:rPr>
        <w:t>丰富选修课程资源库，精选国家精品课程，补充公共选修课程资源库，我校开设超过300门公共任选课，涵盖科学文化、传统文化、历史人文、技能提升、健康饮食等方面课程内容，全面提升学生综合素质。</w:t>
      </w:r>
    </w:p>
    <w:p>
      <w:pPr>
        <w:pageBreakBefore w:val="0"/>
        <w:numPr>
          <w:ilvl w:val="0"/>
          <w:numId w:val="0"/>
        </w:numPr>
        <w:kinsoku/>
        <w:wordWrap/>
        <w:overflowPunct/>
        <w:topLinePunct w:val="0"/>
        <w:autoSpaceDE/>
        <w:autoSpaceDN/>
        <w:bidi w:val="0"/>
        <w:spacing w:line="560" w:lineRule="exact"/>
        <w:ind w:firstLine="321" w:firstLineChars="1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cs="仿宋_GB2312"/>
          <w:b/>
          <w:bCs/>
          <w:color w:val="000000" w:themeColor="text1"/>
          <w:sz w:val="32"/>
          <w:szCs w:val="32"/>
          <w:lang w:eastAsia="zh-CN"/>
          <w14:textFill>
            <w14:solidFill>
              <w14:schemeClr w14:val="tx1"/>
            </w14:solidFill>
          </w14:textFill>
        </w:rPr>
        <w:t>（</w:t>
      </w:r>
      <w:r>
        <w:rPr>
          <w:rFonts w:hint="eastAsia" w:ascii="仿宋_GB2312" w:hAnsi="仿宋_GB2312" w:cs="仿宋_GB2312"/>
          <w:b/>
          <w:bCs/>
          <w:color w:val="000000" w:themeColor="text1"/>
          <w:sz w:val="32"/>
          <w:szCs w:val="32"/>
          <w:lang w:val="en-US" w:eastAsia="zh-CN"/>
          <w14:textFill>
            <w14:solidFill>
              <w14:schemeClr w14:val="tx1"/>
            </w14:solidFill>
          </w14:textFill>
        </w:rPr>
        <w:t>2</w:t>
      </w:r>
      <w:r>
        <w:rPr>
          <w:rFonts w:hint="eastAsia" w:ascii="仿宋_GB2312" w:hAnsi="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创新思政课堂新路径，传承优秀文化</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扎实推进“一系（科）一品”，打造“三全育人”新格局，创新开设“弘德育才”思政学堂，通过领读国学经典、聆听新时代歌曲，推出文化育人线上作品43期，并获批学校2020年思政工作精品项目立项；开展“爱国红船”主题系列线下活动3场，让红色文化进生活、进课堂，增强学生文化自信；打造“建院精神”主题公开课，弘扬时代精神，奏响“立德树人”最强音。</w:t>
      </w:r>
    </w:p>
    <w:p>
      <w:pPr>
        <w:pageBreakBefore w:val="0"/>
        <w:kinsoku/>
        <w:wordWrap/>
        <w:overflowPunct/>
        <w:topLinePunct w:val="0"/>
        <w:autoSpaceDE/>
        <w:autoSpaceDN/>
        <w:bidi w:val="0"/>
        <w:spacing w:line="560" w:lineRule="exact"/>
        <w:ind w:left="0" w:leftChars="0" w:firstLine="321" w:firstLineChars="100"/>
        <w:textAlignment w:val="auto"/>
        <w:rPr>
          <w:rStyle w:val="16"/>
          <w:rFonts w:hint="eastAsia" w:ascii="仿宋_GB2312" w:hAnsi="仿宋_GB2312" w:eastAsia="仿宋_GB2312" w:cs="仿宋_GB2312"/>
          <w:b/>
          <w:bCs/>
          <w:color w:val="000000" w:themeColor="text1"/>
          <w:sz w:val="32"/>
          <w:szCs w:val="32"/>
          <w:lang w:eastAsia="zh-CN"/>
          <w14:textFill>
            <w14:solidFill>
              <w14:schemeClr w14:val="tx1"/>
            </w14:solidFill>
          </w14:textFill>
        </w:rPr>
      </w:pPr>
      <w:r>
        <w:rPr>
          <w:rStyle w:val="16"/>
          <w:rFonts w:hint="eastAsia" w:ascii="仿宋_GB2312" w:hAnsi="仿宋_GB2312" w:cs="仿宋_GB2312"/>
          <w:b/>
          <w:bCs/>
          <w:color w:val="000000" w:themeColor="text1"/>
          <w:sz w:val="32"/>
          <w:szCs w:val="32"/>
          <w:lang w:eastAsia="zh-CN"/>
          <w14:textFill>
            <w14:solidFill>
              <w14:schemeClr w14:val="tx1"/>
            </w14:solidFill>
          </w14:textFill>
        </w:rPr>
        <w:t>（</w:t>
      </w:r>
      <w:r>
        <w:rPr>
          <w:rStyle w:val="16"/>
          <w:rFonts w:hint="eastAsia" w:ascii="仿宋_GB2312" w:hAnsi="仿宋_GB2312" w:cs="仿宋_GB2312"/>
          <w:b/>
          <w:bCs/>
          <w:color w:val="000000" w:themeColor="text1"/>
          <w:sz w:val="32"/>
          <w:szCs w:val="32"/>
          <w:lang w:val="en-US" w:eastAsia="zh-CN"/>
          <w14:textFill>
            <w14:solidFill>
              <w14:schemeClr w14:val="tx1"/>
            </w14:solidFill>
          </w14:textFill>
        </w:rPr>
        <w:t>3</w:t>
      </w:r>
      <w:r>
        <w:rPr>
          <w:rStyle w:val="16"/>
          <w:rFonts w:hint="eastAsia" w:ascii="仿宋_GB2312" w:hAnsi="仿宋_GB2312" w:cs="仿宋_GB2312"/>
          <w:b/>
          <w:bCs/>
          <w:color w:val="000000" w:themeColor="text1"/>
          <w:sz w:val="32"/>
          <w:szCs w:val="32"/>
          <w:lang w:eastAsia="zh-CN"/>
          <w14:textFill>
            <w14:solidFill>
              <w14:schemeClr w14:val="tx1"/>
            </w14:solidFill>
          </w14:textFill>
        </w:rPr>
        <w:t>）</w:t>
      </w:r>
      <w:r>
        <w:rPr>
          <w:rStyle w:val="16"/>
          <w:rFonts w:hint="eastAsia" w:ascii="仿宋_GB2312" w:hAnsi="仿宋_GB2312" w:eastAsia="仿宋_GB2312" w:cs="仿宋_GB2312"/>
          <w:b/>
          <w:bCs/>
          <w:color w:val="000000" w:themeColor="text1"/>
          <w:sz w:val="32"/>
          <w:szCs w:val="32"/>
          <w14:textFill>
            <w14:solidFill>
              <w14:schemeClr w14:val="tx1"/>
            </w14:solidFill>
          </w14:textFill>
        </w:rPr>
        <w:t>继续积极推进网络新媒体平台建设，构建网络思政全媒体矩阵，提升学生网络素养</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楷体_GB2312" w:hAnsi="楷体_GB2312" w:eastAsia="楷体_GB2312" w:cs="楷体_GB2312"/>
          <w:b/>
          <w:bCs/>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紧跟时下热点，秉承“主原创、重服务”的理念，用文字、图片、微视频等多种形式展现学校和学子风采，搭建起师生学习、交流和服务的交互式信息平台，打造具有建院特色的校园网络文化品牌。开通“广西建院学工部”微信公众号和“广西建院网络思政”抖音账号，会同易班打造网络思政教育“每周一读”“半月一歌”等音频产品，发布140个短视频作品，浏览量达57万余次；“战</w:t>
      </w:r>
      <w:r>
        <w:rPr>
          <w:rFonts w:hint="eastAsia" w:ascii="仿宋_GB2312" w:hAnsi="仿宋_GB2312" w:cs="仿宋_GB2312"/>
          <w:color w:val="000000" w:themeColor="text1"/>
          <w:sz w:val="32"/>
          <w:szCs w:val="32"/>
          <w:lang w:eastAsia="zh-CN"/>
          <w14:textFill>
            <w14:solidFill>
              <w14:schemeClr w14:val="tx1"/>
            </w14:solidFill>
          </w14:textFill>
        </w:rPr>
        <w:t>疫</w:t>
      </w:r>
      <w:r>
        <w:rPr>
          <w:rFonts w:hint="eastAsia" w:ascii="仿宋_GB2312" w:hAnsi="仿宋_GB2312" w:eastAsia="仿宋_GB2312" w:cs="仿宋_GB2312"/>
          <w:color w:val="000000" w:themeColor="text1"/>
          <w:sz w:val="32"/>
          <w:szCs w:val="32"/>
          <w14:textFill>
            <w14:solidFill>
              <w14:schemeClr w14:val="tx1"/>
            </w14:solidFill>
          </w14:textFill>
        </w:rPr>
        <w:t>微团课”“爱国红船”等线上系列主题作品登上全国易班头条61次，累计浏览量10万余次，易班优课教学活跃度增量排行全国第八。</w:t>
      </w:r>
    </w:p>
    <w:p>
      <w:pPr>
        <w:pStyle w:val="4"/>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bookmarkStart w:id="40" w:name="_Toc5482"/>
      <w:r>
        <w:rPr>
          <w:rFonts w:hint="eastAsia"/>
          <w:lang w:val="en-US" w:eastAsia="zh-CN"/>
        </w:rPr>
        <w:t>（二）就业质量</w:t>
      </w:r>
      <w:bookmarkEnd w:id="40"/>
    </w:p>
    <w:p>
      <w:pPr>
        <w:pStyle w:val="5"/>
        <w:pageBreakBefore w:val="0"/>
        <w:widowControl w:val="0"/>
        <w:kinsoku/>
        <w:wordWrap/>
        <w:overflowPunct/>
        <w:topLinePunct w:val="0"/>
        <w:autoSpaceDE/>
        <w:autoSpaceDN/>
        <w:bidi w:val="0"/>
        <w:adjustRightInd/>
        <w:snapToGrid/>
        <w:spacing w:line="0" w:lineRule="atLeast"/>
        <w:textAlignment w:val="auto"/>
        <w:rPr>
          <w:rFonts w:hint="eastAsia"/>
        </w:rPr>
      </w:pPr>
      <w:bookmarkStart w:id="41" w:name="_Toc3009_WPSOffice_Level3"/>
      <w:bookmarkStart w:id="42" w:name="_Toc12508"/>
      <w:r>
        <w:rPr>
          <w:rFonts w:hint="default"/>
        </w:rPr>
        <w:t>1</w:t>
      </w:r>
      <w:r>
        <w:rPr>
          <w:rFonts w:hint="eastAsia"/>
          <w:lang w:val="en-US" w:eastAsia="zh-Hans"/>
        </w:rPr>
        <w:t>.</w:t>
      </w:r>
      <w:bookmarkEnd w:id="41"/>
      <w:r>
        <w:rPr>
          <w:rFonts w:hint="eastAsia"/>
        </w:rPr>
        <w:t>毕业生就业质量优良</w:t>
      </w:r>
      <w:bookmarkEnd w:id="42"/>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textAlignment w:val="auto"/>
        <w:rPr>
          <w:rFonts w:hint="eastAsia" w:ascii="仿宋_GB2312" w:hAnsi="仿宋_GB2312" w:eastAsia="仿宋_GB2312" w:cs="仿宋_GB2312"/>
          <w:color w:val="000000"/>
          <w:sz w:val="32"/>
          <w:szCs w:val="32"/>
        </w:rPr>
      </w:pPr>
      <w:bookmarkStart w:id="43" w:name="_Toc21568_WPSOffice_Level3"/>
      <w:r>
        <w:rPr>
          <w:rFonts w:hint="eastAsia" w:ascii="仿宋_GB2312" w:hAnsi="仿宋_GB2312" w:eastAsia="仿宋_GB2312" w:cs="仿宋_GB2312"/>
          <w:color w:val="000000"/>
          <w:sz w:val="32"/>
          <w:szCs w:val="32"/>
        </w:rPr>
        <w:t>我校2020届毕业生总人数为5106人。截至2020年7月30日，就业人数为4870人（含1204人升学），初次就业率为95.38%，就业率名列全区高校前茅；农村建档立卡贫困户毕业生共611人，就业人数为592人（其中457人落实就业单位，专升本130人，参军入伍5人），就业率为96.89%；</w:t>
      </w:r>
      <w:r>
        <w:rPr>
          <w:rFonts w:hint="eastAsia" w:ascii="仿宋_GB2312" w:hAnsi="仿宋_GB2312" w:eastAsia="仿宋_GB2312" w:cs="仿宋_GB2312"/>
          <w:sz w:val="32"/>
          <w:szCs w:val="32"/>
        </w:rPr>
        <w:t>毕业生就业的专业对口率为90.14%；用人单位对我校毕业生综合素质的满意度达95%以上，</w:t>
      </w:r>
      <w:r>
        <w:rPr>
          <w:rFonts w:hint="eastAsia" w:ascii="仿宋_GB2312" w:hAnsi="仿宋_GB2312" w:eastAsia="仿宋_GB2312" w:cs="仿宋_GB2312"/>
          <w:color w:val="000000"/>
          <w:sz w:val="32"/>
          <w:szCs w:val="32"/>
        </w:rPr>
        <w:t>连续第15年荣获自治区高校毕业生就业工作先进集体荣誉称号。</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Cs/>
          <w:color w:val="000000"/>
          <w:kern w:val="0"/>
          <w:sz w:val="21"/>
          <w:szCs w:val="21"/>
          <w:lang w:bidi="ar"/>
        </w:rPr>
      </w:pPr>
      <w:r>
        <w:rPr>
          <w:rFonts w:hint="eastAsia" w:asciiTheme="minorEastAsia" w:hAnsiTheme="minorEastAsia" w:eastAsiaTheme="minorEastAsia" w:cstheme="minorEastAsia"/>
          <w:bCs/>
          <w:color w:val="000000"/>
          <w:kern w:val="0"/>
          <w:sz w:val="21"/>
          <w:szCs w:val="21"/>
          <w:lang w:bidi="ar"/>
        </w:rPr>
        <w:t>表3广西建设职业技术学院2020届毕业生就业统计表</w:t>
      </w:r>
    </w:p>
    <w:tbl>
      <w:tblPr>
        <w:tblStyle w:val="13"/>
        <w:tblpPr w:leftFromText="180" w:rightFromText="180" w:vertAnchor="text" w:horzAnchor="margin" w:tblpXSpec="center" w:tblpY="2"/>
        <w:tblW w:w="0" w:type="auto"/>
        <w:tblInd w:w="0" w:type="dxa"/>
        <w:tblLayout w:type="fixed"/>
        <w:tblCellMar>
          <w:top w:w="0" w:type="dxa"/>
          <w:left w:w="0" w:type="dxa"/>
          <w:bottom w:w="0" w:type="dxa"/>
          <w:right w:w="0" w:type="dxa"/>
        </w:tblCellMar>
      </w:tblPr>
      <w:tblGrid>
        <w:gridCol w:w="1417"/>
        <w:gridCol w:w="4542"/>
        <w:gridCol w:w="2071"/>
      </w:tblGrid>
      <w:tr>
        <w:tblPrEx>
          <w:tblCellMar>
            <w:top w:w="0" w:type="dxa"/>
            <w:left w:w="0" w:type="dxa"/>
            <w:bottom w:w="0" w:type="dxa"/>
            <w:right w:w="0" w:type="dxa"/>
          </w:tblCellMar>
        </w:tblPrEx>
        <w:trPr>
          <w:trHeight w:val="275" w:hRule="atLeast"/>
        </w:trPr>
        <w:tc>
          <w:tcPr>
            <w:tcW w:w="1417"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2" w:firstLineChars="200"/>
              <w:jc w:val="center"/>
              <w:textAlignment w:val="auto"/>
              <w:outlineLvl w:val="9"/>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序号</w:t>
            </w:r>
          </w:p>
        </w:tc>
        <w:tc>
          <w:tcPr>
            <w:tcW w:w="4542"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2" w:firstLineChars="200"/>
              <w:jc w:val="center"/>
              <w:textAlignment w:val="auto"/>
              <w:outlineLvl w:val="9"/>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统计项目</w:t>
            </w:r>
          </w:p>
        </w:tc>
        <w:tc>
          <w:tcPr>
            <w:tcW w:w="2071"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2" w:firstLineChars="200"/>
              <w:jc w:val="center"/>
              <w:textAlignment w:val="auto"/>
              <w:outlineLvl w:val="9"/>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比例</w:t>
            </w:r>
          </w:p>
        </w:tc>
      </w:tr>
      <w:tr>
        <w:tblPrEx>
          <w:tblCellMar>
            <w:top w:w="0" w:type="dxa"/>
            <w:left w:w="0" w:type="dxa"/>
            <w:bottom w:w="0" w:type="dxa"/>
            <w:right w:w="0" w:type="dxa"/>
          </w:tblCellMar>
        </w:tblPrEx>
        <w:trPr>
          <w:trHeight w:val="275" w:hRule="atLeast"/>
        </w:trPr>
        <w:tc>
          <w:tcPr>
            <w:tcW w:w="1417"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4542"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初次就业率</w:t>
            </w:r>
          </w:p>
        </w:tc>
        <w:tc>
          <w:tcPr>
            <w:tcW w:w="2071"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95.57%</w:t>
            </w:r>
          </w:p>
        </w:tc>
      </w:tr>
      <w:tr>
        <w:tblPrEx>
          <w:tblCellMar>
            <w:top w:w="0" w:type="dxa"/>
            <w:left w:w="0" w:type="dxa"/>
            <w:bottom w:w="0" w:type="dxa"/>
            <w:right w:w="0" w:type="dxa"/>
          </w:tblCellMar>
        </w:tblPrEx>
        <w:trPr>
          <w:trHeight w:val="275" w:hRule="atLeast"/>
        </w:trPr>
        <w:tc>
          <w:tcPr>
            <w:tcW w:w="1417"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4542"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建档立卡毕业生群体就业率</w:t>
            </w:r>
          </w:p>
        </w:tc>
        <w:tc>
          <w:tcPr>
            <w:tcW w:w="2071"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96.89%</w:t>
            </w:r>
          </w:p>
        </w:tc>
      </w:tr>
      <w:tr>
        <w:tblPrEx>
          <w:tblCellMar>
            <w:top w:w="0" w:type="dxa"/>
            <w:left w:w="0" w:type="dxa"/>
            <w:bottom w:w="0" w:type="dxa"/>
            <w:right w:w="0" w:type="dxa"/>
          </w:tblCellMar>
        </w:tblPrEx>
        <w:trPr>
          <w:trHeight w:val="275" w:hRule="atLeast"/>
        </w:trPr>
        <w:tc>
          <w:tcPr>
            <w:tcW w:w="1417"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4542"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专业对口率</w:t>
            </w:r>
          </w:p>
        </w:tc>
        <w:tc>
          <w:tcPr>
            <w:tcW w:w="2071"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w:t>
            </w:r>
          </w:p>
        </w:tc>
      </w:tr>
      <w:tr>
        <w:tblPrEx>
          <w:tblCellMar>
            <w:top w:w="0" w:type="dxa"/>
            <w:left w:w="0" w:type="dxa"/>
            <w:bottom w:w="0" w:type="dxa"/>
            <w:right w:w="0" w:type="dxa"/>
          </w:tblCellMar>
        </w:tblPrEx>
        <w:trPr>
          <w:trHeight w:val="275" w:hRule="atLeast"/>
        </w:trPr>
        <w:tc>
          <w:tcPr>
            <w:tcW w:w="1417"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4542"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毕业生就业满意度</w:t>
            </w:r>
          </w:p>
        </w:tc>
        <w:tc>
          <w:tcPr>
            <w:tcW w:w="2071"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96%</w:t>
            </w:r>
          </w:p>
        </w:tc>
      </w:tr>
      <w:tr>
        <w:tblPrEx>
          <w:tblCellMar>
            <w:top w:w="0" w:type="dxa"/>
            <w:left w:w="0" w:type="dxa"/>
            <w:bottom w:w="0" w:type="dxa"/>
            <w:right w:w="0" w:type="dxa"/>
          </w:tblCellMar>
        </w:tblPrEx>
        <w:trPr>
          <w:trHeight w:val="275" w:hRule="atLeast"/>
        </w:trPr>
        <w:tc>
          <w:tcPr>
            <w:tcW w:w="1417"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4542"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用人单位满意度</w:t>
            </w:r>
          </w:p>
        </w:tc>
        <w:tc>
          <w:tcPr>
            <w:tcW w:w="2071"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95.90%</w:t>
            </w:r>
          </w:p>
        </w:tc>
      </w:tr>
      <w:tr>
        <w:tblPrEx>
          <w:tblCellMar>
            <w:top w:w="0" w:type="dxa"/>
            <w:left w:w="0" w:type="dxa"/>
            <w:bottom w:w="0" w:type="dxa"/>
            <w:right w:w="0" w:type="dxa"/>
          </w:tblCellMar>
        </w:tblPrEx>
        <w:trPr>
          <w:trHeight w:val="193" w:hRule="atLeast"/>
        </w:trPr>
        <w:tc>
          <w:tcPr>
            <w:tcW w:w="1417"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4542"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专升本</w:t>
            </w:r>
          </w:p>
        </w:tc>
        <w:tc>
          <w:tcPr>
            <w:tcW w:w="2071" w:type="dxa"/>
            <w:tcBorders>
              <w:top w:val="single" w:color="000000" w:sz="8" w:space="0"/>
              <w:left w:val="single" w:color="000000" w:sz="8" w:space="0"/>
              <w:bottom w:val="single" w:color="000000" w:sz="8" w:space="0"/>
              <w:right w:val="single" w:color="000000" w:sz="8" w:space="0"/>
            </w:tcBorders>
            <w:noWrap w:val="0"/>
            <w:tcMar>
              <w:top w:w="72" w:type="dxa"/>
              <w:left w:w="144" w:type="dxa"/>
              <w:bottom w:w="72" w:type="dxa"/>
              <w:right w:w="144"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center"/>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23.58%</w:t>
            </w:r>
          </w:p>
        </w:tc>
      </w:tr>
      <w:bookmarkEnd w:id="43"/>
    </w:tbl>
    <w:p>
      <w:pPr>
        <w:pStyle w:val="5"/>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rPr>
      </w:pPr>
      <w:bookmarkStart w:id="44" w:name="_Toc1031"/>
      <w:r>
        <w:rPr>
          <w:rFonts w:hint="eastAsia" w:ascii="仿宋_GB2312" w:hAnsi="仿宋_GB2312" w:eastAsia="仿宋_GB2312" w:cs="仿宋_GB2312"/>
        </w:rPr>
        <w:t>2</w:t>
      </w:r>
      <w:r>
        <w:rPr>
          <w:rFonts w:hint="eastAsia" w:ascii="仿宋_GB2312" w:hAnsi="仿宋_GB2312" w:eastAsia="仿宋_GB2312" w:cs="仿宋_GB2312"/>
          <w:lang w:val="en-US" w:eastAsia="zh-Hans"/>
        </w:rPr>
        <w:t>.</w:t>
      </w:r>
      <w:r>
        <w:rPr>
          <w:rFonts w:hint="eastAsia" w:ascii="仿宋_GB2312" w:hAnsi="仿宋_GB2312" w:eastAsia="仿宋_GB2312" w:cs="仿宋_GB2312"/>
        </w:rPr>
        <w:t>毕业生就业市场求人倍率稳中有升</w:t>
      </w:r>
      <w:bookmarkEnd w:id="44"/>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受新冠肺炎疫情的影响，2020届高校毕业生就业形势比以往更为严峻。学校按照上级主管部门关于疫情防控与就业工作的要求，严格落实疫情防控措施，制定2020 届毕业生就业创业工作实施方案，出台一系列促进毕业生就业工作措施，最大程度减少疫情对学生就业影响，推进2020届毕业生充分就业。</w:t>
      </w:r>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一是学校党政领导兵分多路，亲赴企业开拓毕业生就业市场；二是调整思路，积极开展网络线上招聘活动。2020年</w:t>
      </w:r>
      <w:r>
        <w:rPr>
          <w:rFonts w:hint="eastAsia" w:ascii="仿宋_GB2312" w:hAnsi="仿宋_GB2312" w:eastAsia="仿宋_GB2312" w:cs="仿宋_GB2312"/>
          <w:bCs/>
          <w:color w:val="000000"/>
          <w:sz w:val="32"/>
          <w:szCs w:val="32"/>
        </w:rPr>
        <w:t>共组织线各类招聘活动160余场，线下大型双选会2场；共提供就业岗位23465个，累计转发网络双选招聘会35场。至2020年12月15日，共为毕业生提供岗位42635个，市场求人倍率为8.34。</w:t>
      </w:r>
    </w:p>
    <w:p>
      <w:pPr>
        <w:pStyle w:val="4"/>
        <w:keepNext/>
        <w:keepLines/>
        <w:pageBreakBefore w:val="0"/>
        <w:widowControl w:val="0"/>
        <w:kinsoku/>
        <w:wordWrap/>
        <w:overflowPunct/>
        <w:topLinePunct w:val="0"/>
        <w:autoSpaceDE/>
        <w:autoSpaceDN/>
        <w:bidi w:val="0"/>
        <w:adjustRightInd/>
        <w:snapToGrid/>
        <w:spacing w:line="0" w:lineRule="atLeast"/>
        <w:ind w:left="0" w:leftChars="0" w:firstLine="321" w:firstLineChars="100"/>
        <w:textAlignment w:val="auto"/>
        <w:rPr>
          <w:rFonts w:hint="eastAsia"/>
          <w:lang w:val="en-US" w:eastAsia="zh-CN"/>
        </w:rPr>
      </w:pPr>
      <w:bookmarkStart w:id="45" w:name="_Toc22710"/>
      <w:r>
        <w:rPr>
          <w:rFonts w:hint="eastAsia"/>
          <w:lang w:val="en-US" w:eastAsia="zh-CN"/>
        </w:rPr>
        <w:t>（三）在校体验</w:t>
      </w:r>
      <w:bookmarkEnd w:id="45"/>
    </w:p>
    <w:p>
      <w:pPr>
        <w:pStyle w:val="5"/>
        <w:keepNext/>
        <w:keepLines/>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lang w:val="en-US" w:eastAsia="zh-CN"/>
        </w:rPr>
      </w:pPr>
      <w:bookmarkStart w:id="46" w:name="_Toc29703"/>
      <w:r>
        <w:rPr>
          <w:rFonts w:hint="eastAsia" w:ascii="仿宋_GB2312" w:hAnsi="仿宋_GB2312" w:eastAsia="仿宋_GB2312" w:cs="仿宋_GB2312"/>
          <w:lang w:val="en-US" w:eastAsia="zh-CN"/>
        </w:rPr>
        <w:t>1.安全管理</w:t>
      </w:r>
      <w:bookmarkEnd w:id="46"/>
    </w:p>
    <w:p>
      <w:pPr>
        <w:pageBreakBefore w:val="0"/>
        <w:kinsoku/>
        <w:wordWrap/>
        <w:overflowPunct/>
        <w:topLinePunct w:val="0"/>
        <w:autoSpaceDE/>
        <w:autoSpaceDN/>
        <w:bidi w:val="0"/>
        <w:spacing w:line="560" w:lineRule="exact"/>
        <w:ind w:firstLine="640"/>
        <w:textAlignment w:val="auto"/>
        <w:rPr>
          <w:rFonts w:hint="eastAsia"/>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一是落实依法治校，推进学生管理制度化。完善学代会、学生民主座谈会制度，修订了《大学生手册》。加强安全教育工作的指导力度，落实每周安全排查制度，每学期开展校级安全教育讲座、法治讲座、安全逃生演习，覆盖全体在校生。</w:t>
      </w:r>
      <w:r>
        <w:rPr>
          <w:rFonts w:hint="eastAsia" w:ascii="仿宋_GB2312" w:hAnsi="仿宋_GB2312" w:cs="仿宋_GB2312"/>
          <w:color w:val="000000" w:themeColor="text1"/>
          <w:sz w:val="32"/>
          <w:szCs w:val="32"/>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二是丰富育人载体，创新公寓育人模式。积极探索生活课堂进公寓育人模式，聚焦以文化人。为加快推进《健康中国行动（2019-2030年）》控烟行动实施，积极协同上级有关部门设置户外吸烟区，推行校园控烟，共同维护无烟宿舍环境；开展宿舍安全文明知识竞赛，强化安全文明知识宣传，文明和谐宿舍创建同比增长16%。推进校企深度合作，合力在学生公寓创建集送水服务、资助实践和文化生活课堂于一体的“学生公寓文化生活馆”“学生公寓饮用水配送中心”等品牌项目，近三个月来，开设茶艺、花艺、瑜伽、礼仪等课程14期，报名1421人，助推学生提高生活技能，营造良好的育人环境。该项工作得到自治区教育厅充分肯定，我校受邀在全区高校学工工作会议上做典型经验发言。</w:t>
      </w:r>
    </w:p>
    <w:p>
      <w:pPr>
        <w:pStyle w:val="5"/>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lang w:val="en-US" w:eastAsia="zh-CN"/>
        </w:rPr>
      </w:pPr>
      <w:bookmarkStart w:id="47" w:name="_Toc2598"/>
      <w:r>
        <w:rPr>
          <w:rFonts w:hint="eastAsia" w:ascii="仿宋_GB2312" w:hAnsi="仿宋_GB2312" w:eastAsia="仿宋_GB2312" w:cs="仿宋_GB2312"/>
          <w:lang w:val="en-US" w:eastAsia="zh-CN"/>
        </w:rPr>
        <w:t>2.社团活动</w:t>
      </w:r>
      <w:bookmarkEnd w:id="47"/>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学院共有42个社团，其中学术科技社团14个，体育户外社团8个，文化艺术社团8个，表演艺术社团6个，社会实践及公益社团6个。</w:t>
      </w:r>
    </w:p>
    <w:p>
      <w:pPr>
        <w:pageBreakBefore w:val="0"/>
        <w:kinsoku/>
        <w:wordWrap/>
        <w:overflowPunct/>
        <w:topLinePunct w:val="0"/>
        <w:bidi w:val="0"/>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校学生社团工作紧紧围绕学校党政中心工作，以精品社团建设为抓手，以社团文化建设为依托，以指导学生社团协调稳步发展为重点，在广大团学干部的共同努力下，有力地推动了校园文化的蓬勃健康发展，为广大学生的健康成长成才提供了展示自我的广阔舞台。为充分调动和激发广大社团干部成员的积极性和创造性，活跃学生社团工作，社团每年开展评优工作，通过评优工作强化学生社团工作教育功能，增强学生社团工作活力，强化社团意识和社团干部岗位成才、岗位贡献的意识。</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rPr>
        <w:t>社团精品活动主要有“一分爱心，绿色校园”(“一分钱”基金会) 、抒情国情-讲思政课（青年马克思主义者协会）、 云彩活动(青年志愿者协会) 、全国大学生数学建模竞赛(数学建模协会)等系列丰富多彩的活动，集中展示我校学生锐意进取、积极向上的精神风貌，营造文明、高雅、和谐的校园文化氛围。青年志愿者协会坚持开展“义务献血”活动，我校团委荣获“南宁市无偿献血促进奖单位奖”；演</w:t>
      </w:r>
      <w:r>
        <w:rPr>
          <w:rFonts w:hint="eastAsia" w:ascii="仿宋_GB2312" w:hAnsi="仿宋_GB2312" w:eastAsia="仿宋_GB2312" w:cs="仿宋_GB2312"/>
          <w:color w:val="000000" w:themeColor="text1"/>
          <w:sz w:val="32"/>
          <w:szCs w:val="32"/>
          <w14:textFill>
            <w14:solidFill>
              <w14:schemeClr w14:val="tx1"/>
            </w14:solidFill>
          </w14:textFill>
        </w:rPr>
        <w:t>讲与口才协会荣获 2019赛季华语辩论世界杯南宁赛区亚军。</w:t>
      </w:r>
    </w:p>
    <w:p>
      <w:pPr>
        <w:pStyle w:val="5"/>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lang w:val="en-US" w:eastAsia="zh-CN"/>
        </w:rPr>
      </w:pPr>
      <w:bookmarkStart w:id="48" w:name="_Toc13060"/>
      <w:r>
        <w:rPr>
          <w:rFonts w:hint="eastAsia" w:ascii="仿宋_GB2312" w:hAnsi="仿宋_GB2312" w:eastAsia="仿宋_GB2312" w:cs="仿宋_GB2312"/>
          <w:lang w:val="en-US" w:eastAsia="zh-CN"/>
        </w:rPr>
        <w:t>3.学生服务</w:t>
      </w:r>
      <w:bookmarkEnd w:id="48"/>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一是</w:t>
      </w:r>
      <w:r>
        <w:rPr>
          <w:rFonts w:hint="eastAsia" w:ascii="仿宋_GB2312" w:hAnsi="仿宋_GB2312" w:eastAsia="仿宋_GB2312" w:cs="仿宋_GB2312"/>
          <w:color w:val="000000" w:themeColor="text1"/>
          <w:sz w:val="32"/>
          <w:szCs w:val="32"/>
          <w14:textFill>
            <w14:solidFill>
              <w14:schemeClr w14:val="tx1"/>
            </w14:solidFill>
          </w14:textFill>
        </w:rPr>
        <w:t>注重工作细节</w:t>
      </w:r>
      <w:r>
        <w:rPr>
          <w:rStyle w:val="16"/>
          <w:rFonts w:hint="eastAsia" w:ascii="仿宋_GB2312" w:hAnsi="仿宋_GB2312" w:eastAsia="仿宋_GB2312" w:cs="仿宋_GB2312"/>
          <w:b w:val="0"/>
          <w:bCs w:val="0"/>
          <w:color w:val="000000" w:themeColor="text1"/>
          <w:sz w:val="32"/>
          <w:szCs w:val="32"/>
          <w14:textFill>
            <w14:solidFill>
              <w14:schemeClr w14:val="tx1"/>
            </w14:solidFill>
          </w14:textFill>
        </w:rPr>
        <w:t>、强化贴心服务，从点滴服务学生</w:t>
      </w:r>
      <w:r>
        <w:rPr>
          <w:rFonts w:hint="eastAsia" w:ascii="仿宋_GB2312" w:hAnsi="仿宋_GB2312" w:eastAsia="仿宋_GB2312" w:cs="仿宋_GB2312"/>
          <w:color w:val="000000" w:themeColor="text1"/>
          <w:sz w:val="32"/>
          <w:szCs w:val="32"/>
          <w14:textFill>
            <w14:solidFill>
              <w14:schemeClr w14:val="tx1"/>
            </w14:solidFill>
          </w14:textFill>
        </w:rPr>
        <w:t>。拓展“一站式”服务范围，重新编撰了《业务办理流程指南》，新增服务业务6项，本年度共办理业务32009人次，办结率100%；推进网上办事大厅建设，打造服务师生的“百事通”，获广西日报和广西八桂职教网报道。指导“一站式阳光E站”开展“不忘初心，牢记使命”主题教育系列活动，服务指导学生参加2020“互联网+”创新创业比赛获校级铜奖，参加第九届“挑战杯”广西大学生创业计划竞赛获得金奖1项。</w:t>
      </w:r>
    </w:p>
    <w:p>
      <w:pPr>
        <w:pStyle w:val="5"/>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lang w:val="en-US" w:eastAsia="zh-CN"/>
        </w:rPr>
      </w:pPr>
      <w:bookmarkStart w:id="49" w:name="_Toc19563"/>
      <w:r>
        <w:rPr>
          <w:rFonts w:hint="eastAsia" w:ascii="仿宋_GB2312" w:hAnsi="仿宋_GB2312" w:eastAsia="仿宋_GB2312" w:cs="仿宋_GB2312"/>
          <w:lang w:val="en-US" w:eastAsia="zh-CN"/>
        </w:rPr>
        <w:t>4.心理健康工作</w:t>
      </w:r>
      <w:bookmarkEnd w:id="49"/>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创新心理育人模式，打造心理工作矩阵。用心打造心情故事评选、心理知识竞赛、幸福手账打卡、心理课堂评、图文心情微故事评比、集心理能量卡兑换新年小礼物比等</w:t>
      </w:r>
      <w:r>
        <w:rPr>
          <w:rFonts w:hint="eastAsia" w:ascii="仿宋_GB2312" w:hAnsi="仿宋_GB2312" w:eastAsia="仿宋_GB2312" w:cs="仿宋_GB2312"/>
          <w:b/>
          <w:bCs/>
          <w:color w:val="000000" w:themeColor="text1"/>
          <w:sz w:val="32"/>
          <w:szCs w:val="32"/>
          <w14:textFill>
            <w14:solidFill>
              <w14:schemeClr w14:val="tx1"/>
            </w14:solidFill>
          </w14:textFill>
        </w:rPr>
        <w:t>6大项</w:t>
      </w:r>
      <w:r>
        <w:rPr>
          <w:rFonts w:hint="eastAsia" w:ascii="仿宋_GB2312" w:hAnsi="仿宋_GB2312" w:eastAsia="仿宋_GB2312" w:cs="仿宋_GB2312"/>
          <w:color w:val="000000" w:themeColor="text1"/>
          <w:sz w:val="32"/>
          <w:szCs w:val="32"/>
          <w14:textFill>
            <w14:solidFill>
              <w14:schemeClr w14:val="tx1"/>
            </w14:solidFill>
          </w14:textFill>
        </w:rPr>
        <w:t xml:space="preserve">主题心理活动，参与学生人数累积破万；做好心理危机预防干预工作，构建心理危机防御体系，积极推进心理健康教育工作求“实”重“稳”，细致入微——采用“中国大学生心理健康测评系统”对新生进行了心理健康普查，普查率达100%。扎实开展心理危机定期排查工作，认真贯彻执行学生心理状况月报制度，常态开展班级排查11轮，举办各类心理工作队伍培训8场。此外，注重以研促教、以赛促教，获市厅级思政课题立项1项，获市厅级心理微课比赛二等奖、三等奖各1项。 </w:t>
      </w:r>
    </w:p>
    <w:p>
      <w:pPr>
        <w:pStyle w:val="5"/>
        <w:bidi w:val="0"/>
        <w:rPr>
          <w:rFonts w:hint="eastAsia" w:ascii="仿宋_GB2312" w:hAnsi="仿宋_GB2312" w:eastAsia="仿宋_GB2312" w:cs="仿宋_GB2312"/>
          <w:lang w:val="en-US" w:eastAsia="zh-CN"/>
        </w:rPr>
      </w:pPr>
      <w:bookmarkStart w:id="50" w:name="_Toc798"/>
      <w:r>
        <w:rPr>
          <w:rFonts w:hint="eastAsia" w:ascii="仿宋_GB2312" w:hAnsi="仿宋_GB2312" w:eastAsia="仿宋_GB2312" w:cs="仿宋_GB2312"/>
          <w:lang w:val="en-US" w:eastAsia="zh-CN"/>
        </w:rPr>
        <w:t>5.学生资助</w:t>
      </w:r>
      <w:bookmarkEnd w:id="50"/>
    </w:p>
    <w:p>
      <w:pPr>
        <w:pageBreakBefore w:val="0"/>
        <w:widowControl w:val="0"/>
        <w:kinsoku/>
        <w:wordWrap/>
        <w:overflowPunct/>
        <w:topLinePunct w:val="0"/>
        <w:autoSpaceDE/>
        <w:autoSpaceDN/>
        <w:bidi w:val="0"/>
        <w:adjustRightInd/>
        <w:snapToGrid/>
        <w:spacing w:line="560" w:lineRule="exact"/>
        <w:ind w:firstLine="640"/>
        <w:textAlignment w:val="auto"/>
        <w:rPr>
          <w:rFonts w:hint="default" w:ascii="楷体_GB2312" w:hAnsi="楷体_GB2312" w:eastAsia="楷体_GB2312" w:cs="楷体_GB2312"/>
          <w:b/>
          <w:bCs/>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规范学生资助管理，强化资助育人阵地建设。不断创新工作思路，规范工作机制，健全学生资助制度，大力推进精准资助和资助育人。针对不同资助对象分类建档，建立动态数据库，对做好学校家庭经济困难学生认定工作、规范勤工助学管理工作等筑牢基础工程。审核、发放奖助学金2045多万元，受益学生11098人次；为7589名学生办理助学贷款6037多万元；为13158人次学生发放突发困难、爱心卧具、空调热水补助、勤工助学、入伍服兵役国家教育资助等1065多万元；为25953人次学生购买实习责任险、校园方责任险等41余万元；协助1130人办理大学生医保参保工作。注重扶贫扶志，深化“铸魂工程”，围绕“诚信·感恩·励志”主题，组织开展“资助政策宣传月”“诚信教育”“自强之星”评选等活动，荣获2020年全区高校“助学、铸诚、筑梦”主题微视频一等奖第一名和二等奖第一名。</w:t>
      </w:r>
    </w:p>
    <w:p>
      <w:pPr>
        <w:pStyle w:val="4"/>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bookmarkStart w:id="51" w:name="_Toc22911"/>
      <w:r>
        <w:rPr>
          <w:rFonts w:hint="eastAsia"/>
          <w:lang w:val="en-US" w:eastAsia="zh-CN"/>
        </w:rPr>
        <w:t>（四）职业发展</w:t>
      </w:r>
      <w:bookmarkEnd w:id="51"/>
    </w:p>
    <w:p>
      <w:pPr>
        <w:pStyle w:val="5"/>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rPr>
      </w:pPr>
      <w:bookmarkStart w:id="52" w:name="_Toc2622_WPSOffice_Level2"/>
      <w:bookmarkStart w:id="53" w:name="_Toc7516"/>
      <w:r>
        <w:rPr>
          <w:rFonts w:hint="eastAsia" w:ascii="仿宋_GB2312" w:hAnsi="仿宋_GB2312" w:eastAsia="仿宋_GB2312" w:cs="仿宋_GB2312"/>
        </w:rPr>
        <w:t>1.大学生创新创业实践平台</w:t>
      </w:r>
      <w:bookmarkEnd w:id="52"/>
      <w:r>
        <w:rPr>
          <w:rFonts w:hint="eastAsia" w:ascii="仿宋_GB2312" w:hAnsi="仿宋_GB2312" w:eastAsia="仿宋_GB2312" w:cs="仿宋_GB2312"/>
        </w:rPr>
        <w:t>育人功能</w:t>
      </w:r>
      <w:r>
        <w:rPr>
          <w:rFonts w:hint="eastAsia" w:ascii="仿宋_GB2312" w:hAnsi="仿宋_GB2312" w:eastAsia="仿宋_GB2312" w:cs="仿宋_GB2312"/>
          <w:lang w:eastAsia="zh-CN"/>
        </w:rPr>
        <w:t>见</w:t>
      </w:r>
      <w:r>
        <w:rPr>
          <w:rFonts w:hint="eastAsia" w:ascii="仿宋_GB2312" w:hAnsi="仿宋_GB2312" w:eastAsia="仿宋_GB2312" w:cs="仿宋_GB2312"/>
        </w:rPr>
        <w:t>成效</w:t>
      </w:r>
      <w:bookmarkEnd w:id="53"/>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大学生创业孵化园的有序规范运营。一是完成第一批创业孵化园项目的考核和管理工作；二是指导和帮助园区4家创业团队完成营业执照办理、报税等服务工作；三是完成第二批共27个创业项目的遴选、评审和园区入驻工作。四是成功举办了有75支团队参与的“我敢闯 我会创”为主题的2020年大学生创意市集活动。这些活动有效的营造了浓厚的校园创业氛围，充分发挥了创</w:t>
      </w:r>
      <w:r>
        <w:rPr>
          <w:rFonts w:hint="eastAsia" w:ascii="仿宋_GB2312" w:hAnsi="仿宋_GB2312" w:eastAsia="仿宋_GB2312" w:cs="仿宋_GB2312"/>
          <w:sz w:val="32"/>
          <w:szCs w:val="32"/>
          <w:highlight w:val="none"/>
        </w:rPr>
        <w:t>新创业教育的实践育人功能。</w:t>
      </w:r>
    </w:p>
    <w:p>
      <w:pPr>
        <w:pStyle w:val="5"/>
        <w:bidi w:val="0"/>
        <w:rPr>
          <w:rFonts w:hint="eastAsia" w:ascii="仿宋_GB2312" w:hAnsi="仿宋_GB2312" w:eastAsia="仿宋_GB2312" w:cs="仿宋_GB2312"/>
        </w:rPr>
      </w:pPr>
      <w:bookmarkStart w:id="54" w:name="_Toc15746_WPSOffice_Level2"/>
      <w:bookmarkStart w:id="55" w:name="_Toc6520"/>
      <w:r>
        <w:rPr>
          <w:rFonts w:hint="eastAsia" w:ascii="仿宋_GB2312" w:hAnsi="仿宋_GB2312" w:eastAsia="仿宋_GB2312" w:cs="仿宋_GB2312"/>
        </w:rPr>
        <w:t>2.创新创业竞赛活动</w:t>
      </w:r>
      <w:bookmarkEnd w:id="54"/>
      <w:r>
        <w:rPr>
          <w:rFonts w:hint="eastAsia" w:ascii="仿宋_GB2312" w:hAnsi="仿宋_GB2312" w:eastAsia="仿宋_GB2312" w:cs="仿宋_GB2312"/>
        </w:rPr>
        <w:t>氛围浓厚</w:t>
      </w:r>
      <w:bookmarkEnd w:id="55"/>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举办第六届中国国际“互联网+”大学生创新创业大赛校内选拔赛、第三届广西中华职业教育创新创业大赛暨第四届中华职业教育创新创业大赛校内选拔赛、大学生职业生涯规划大赛、大学生简历设计与模拟面试大赛等各级各类创新创业赛事，参赛项目超过700个，参赛师生超过5000人</w:t>
      </w:r>
      <w:bookmarkStart w:id="56" w:name="_Toc30770_WPSOffice_Level2"/>
      <w:r>
        <w:rPr>
          <w:rFonts w:hint="eastAsia" w:ascii="仿宋_GB2312" w:hAnsi="仿宋_GB2312" w:eastAsia="仿宋_GB2312" w:cs="仿宋_GB2312"/>
          <w:sz w:val="32"/>
          <w:szCs w:val="32"/>
          <w:highlight w:val="none"/>
        </w:rPr>
        <w:t>，营造</w:t>
      </w:r>
      <w:bookmarkStart w:id="57" w:name="baidusnap3"/>
      <w:bookmarkEnd w:id="57"/>
      <w:r>
        <w:rPr>
          <w:rFonts w:hint="eastAsia" w:ascii="仿宋_GB2312" w:hAnsi="仿宋_GB2312" w:eastAsia="仿宋_GB2312" w:cs="仿宋_GB2312"/>
          <w:sz w:val="32"/>
          <w:szCs w:val="32"/>
          <w:highlight w:val="none"/>
        </w:rPr>
        <w:t>了浓厚的创新创业</w:t>
      </w:r>
      <w:bookmarkStart w:id="58" w:name="baidusnap7"/>
      <w:bookmarkEnd w:id="58"/>
      <w:r>
        <w:rPr>
          <w:rFonts w:hint="eastAsia" w:ascii="仿宋_GB2312" w:hAnsi="仿宋_GB2312" w:eastAsia="仿宋_GB2312" w:cs="仿宋_GB2312"/>
          <w:sz w:val="32"/>
          <w:szCs w:val="32"/>
          <w:highlight w:val="none"/>
        </w:rPr>
        <w:t>氛围，为有创新创业梦想的学生搭</w:t>
      </w:r>
      <w:r>
        <w:rPr>
          <w:rFonts w:hint="eastAsia" w:ascii="仿宋_GB2312" w:hAnsi="仿宋_GB2312" w:eastAsia="仿宋_GB2312" w:cs="仿宋_GB2312"/>
          <w:sz w:val="32"/>
          <w:szCs w:val="32"/>
        </w:rPr>
        <w:t>建平台。</w:t>
      </w:r>
    </w:p>
    <w:p>
      <w:pPr>
        <w:pStyle w:val="5"/>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lang w:eastAsia="zh-CN"/>
        </w:rPr>
      </w:pPr>
      <w:bookmarkStart w:id="59" w:name="_Toc14333"/>
      <w:r>
        <w:rPr>
          <w:rFonts w:hint="eastAsia" w:ascii="仿宋_GB2312" w:hAnsi="仿宋_GB2312" w:eastAsia="仿宋_GB2312" w:cs="仿宋_GB2312"/>
        </w:rPr>
        <w:t>3.就业创业师资队伍建设</w:t>
      </w:r>
      <w:bookmarkEnd w:id="56"/>
      <w:r>
        <w:rPr>
          <w:rFonts w:hint="eastAsia" w:ascii="仿宋_GB2312" w:hAnsi="仿宋_GB2312" w:eastAsia="仿宋_GB2312" w:cs="仿宋_GB2312"/>
          <w:lang w:eastAsia="zh-CN"/>
        </w:rPr>
        <w:t>成效显著</w:t>
      </w:r>
      <w:bookmarkEnd w:id="59"/>
    </w:p>
    <w:p>
      <w:pPr>
        <w:keepNext w:val="0"/>
        <w:keepLines w:val="0"/>
        <w:pageBreakBefore w:val="0"/>
        <w:widowControl w:val="0"/>
        <w:kinsoku/>
        <w:wordWrap/>
        <w:overflowPunct/>
        <w:topLinePunct w:val="0"/>
        <w:autoSpaceDE/>
        <w:autoSpaceDN/>
        <w:bidi w:val="0"/>
        <w:adjustRightInd/>
        <w:snapToGrid/>
        <w:spacing w:line="560" w:lineRule="exact"/>
        <w:ind w:right="0" w:rightChars="0" w:firstLine="641" w:firstLineChars="0"/>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2020年选派34人次参加各级各类就业创业指导师资培训，加强50名任课教师的授课指导；组织《大学生职业发展与就业指导</w:t>
      </w:r>
      <w:r>
        <w:rPr>
          <w:rFonts w:hint="eastAsia" w:ascii="仿宋_GB2312" w:hAnsi="仿宋_GB2312" w:eastAsia="仿宋_GB2312" w:cs="仿宋_GB2312"/>
          <w:color w:val="auto"/>
          <w:sz w:val="32"/>
          <w:szCs w:val="32"/>
          <w:highlight w:val="none"/>
        </w:rPr>
        <w:t>》任课教师选拔和教学研讨会，教师教学水平得到提高；采购北森生涯教育一体化平台，超过7000多名师生参与了职业测评活动，提升了广大师生的生涯意识。</w:t>
      </w:r>
    </w:p>
    <w:p>
      <w:pPr>
        <w:pStyle w:val="5"/>
        <w:bidi w:val="0"/>
        <w:rPr>
          <w:rFonts w:hint="eastAsia"/>
          <w:lang w:eastAsia="zh-CN"/>
        </w:rPr>
      </w:pPr>
      <w:bookmarkStart w:id="60" w:name="_Toc7005_WPSOffice_Level2"/>
      <w:bookmarkStart w:id="61" w:name="_Toc9741"/>
      <w:r>
        <w:rPr>
          <w:rFonts w:hint="default"/>
        </w:rPr>
        <w:t>4.</w:t>
      </w:r>
      <w:bookmarkEnd w:id="60"/>
      <w:r>
        <w:rPr>
          <w:rFonts w:hint="eastAsia"/>
          <w:lang w:eastAsia="zh-CN"/>
        </w:rPr>
        <w:t>学生创新创业意识</w:t>
      </w:r>
      <w:r>
        <w:rPr>
          <w:rFonts w:hint="eastAsia"/>
        </w:rPr>
        <w:t>进一步增强</w:t>
      </w:r>
      <w:bookmarkEnd w:id="61"/>
    </w:p>
    <w:p>
      <w:pPr>
        <w:pageBreakBefore w:val="0"/>
        <w:widowControl w:val="0"/>
        <w:kinsoku/>
        <w:wordWrap/>
        <w:overflowPunct/>
        <w:topLinePunct w:val="0"/>
        <w:autoSpaceDE/>
        <w:autoSpaceDN/>
        <w:bidi w:val="0"/>
        <w:adjustRightInd/>
        <w:snapToGrid/>
        <w:spacing w:line="560" w:lineRule="exact"/>
        <w:ind w:right="0" w:rightChars="0" w:firstLine="640" w:firstLineChars="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t>一是探索大学生生涯咨询建设工作，借力广西生涯俱乐部，提供“一对一”的公益咨询，帮助学生树立正确的择业观、成才观；二是邀请区内外就业创业指导专家、优秀校友开展10场就业创业能力提升专题讲座，用榜样人物的生涯轨迹启发学生的规划意识，毕业生就业创业意识进一步增强。</w:t>
      </w:r>
    </w:p>
    <w:p>
      <w:pPr>
        <w:pStyle w:val="4"/>
        <w:pageBreakBefore w:val="0"/>
        <w:widowControl w:val="0"/>
        <w:kinsoku/>
        <w:wordWrap/>
        <w:overflowPunct/>
        <w:topLinePunct w:val="0"/>
        <w:autoSpaceDE/>
        <w:autoSpaceDN/>
        <w:bidi w:val="0"/>
        <w:adjustRightInd/>
        <w:snapToGrid/>
        <w:spacing w:line="560" w:lineRule="exact"/>
        <w:ind w:left="0" w:leftChars="0" w:firstLine="321" w:firstLineChars="100"/>
        <w:textAlignment w:val="auto"/>
        <w:rPr>
          <w:rFonts w:hint="eastAsia"/>
          <w:lang w:val="en-US" w:eastAsia="zh-CN"/>
        </w:rPr>
      </w:pPr>
      <w:bookmarkStart w:id="62" w:name="_Toc14447"/>
      <w:r>
        <w:rPr>
          <w:rFonts w:hint="eastAsia"/>
          <w:lang w:val="en-US" w:eastAsia="zh-CN"/>
        </w:rPr>
        <w:t>（五）弘扬劳模精神和工匠精神</w:t>
      </w:r>
      <w:bookmarkEnd w:id="62"/>
    </w:p>
    <w:p>
      <w:pPr>
        <w:pStyle w:val="5"/>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b/>
          <w:color w:val="000000"/>
          <w:szCs w:val="32"/>
        </w:rPr>
      </w:pPr>
      <w:bookmarkStart w:id="63" w:name="_Toc32582"/>
      <w:r>
        <w:rPr>
          <w:rFonts w:hint="default"/>
        </w:rPr>
        <w:t>1</w:t>
      </w:r>
      <w:r>
        <w:rPr>
          <w:rFonts w:hint="eastAsia"/>
          <w:lang w:val="en-US" w:eastAsia="zh-Hans"/>
        </w:rPr>
        <w:t>.</w:t>
      </w:r>
      <w:r>
        <w:rPr>
          <w:rFonts w:hint="eastAsia"/>
        </w:rPr>
        <w:t>加强劳动教育，弘扬劳模精神</w:t>
      </w:r>
      <w:bookmarkEnd w:id="63"/>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结合专业特色，将劳动教育融入人才培养方案，加大理实一体化课程比例，修订《劳动课课程标准》，加大“劳动学分”认定力度，引导学生树立“崇尚劳动、尊重劳动”的观念，不断完善德智体美劳“五育”全方位全过程融合并举的育人体系。</w:t>
      </w:r>
    </w:p>
    <w:p>
      <w:pPr>
        <w:pStyle w:val="5"/>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rPr>
      </w:pPr>
      <w:bookmarkStart w:id="64" w:name="_Toc13757"/>
      <w:r>
        <w:rPr>
          <w:rFonts w:hint="eastAsia" w:ascii="仿宋_GB2312" w:hAnsi="仿宋_GB2312" w:eastAsia="仿宋_GB2312" w:cs="仿宋_GB2312"/>
        </w:rPr>
        <w:t>2</w:t>
      </w:r>
      <w:r>
        <w:rPr>
          <w:rFonts w:hint="eastAsia" w:ascii="仿宋_GB2312" w:hAnsi="仿宋_GB2312" w:eastAsia="仿宋_GB2312" w:cs="仿宋_GB2312"/>
          <w:lang w:val="en-US" w:eastAsia="zh-Hans"/>
        </w:rPr>
        <w:t>.</w:t>
      </w:r>
      <w:r>
        <w:rPr>
          <w:rFonts w:hint="eastAsia" w:ascii="仿宋_GB2312" w:hAnsi="仿宋_GB2312" w:eastAsia="仿宋_GB2312" w:cs="仿宋_GB2312"/>
        </w:rPr>
        <w:t>加强职业引导，弘扬工匠精神</w:t>
      </w:r>
      <w:bookmarkEnd w:id="64"/>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000000"/>
          <w:sz w:val="32"/>
          <w:szCs w:val="32"/>
        </w:rPr>
        <w:t>制定《课程思政建设工作方案》，融入包括鲁班精神在内的中华优秀传统文化教育，注重培养学生精益求精的工匠精神；持续推进现代学徒制，把工匠精神融入教育教学中，在专业与职业双融合培养模式中，着力培养具有扎实专业基础知识，过硬专业实践技能，高尚职业道德修养的建筑工匠型人才。</w:t>
      </w:r>
    </w:p>
    <w:p>
      <w:pPr>
        <w:pStyle w:val="5"/>
        <w:bidi w:val="0"/>
        <w:rPr>
          <w:rFonts w:hint="eastAsia"/>
          <w:lang w:val="en-US" w:eastAsia="zh-CN"/>
        </w:rPr>
      </w:pPr>
      <w:bookmarkStart w:id="65" w:name="_Toc8856"/>
      <w:r>
        <w:rPr>
          <w:rFonts w:hint="eastAsia"/>
          <w:lang w:val="en-US" w:eastAsia="zh-CN"/>
        </w:rPr>
        <w:t>3.</w:t>
      </w:r>
      <w:r>
        <w:rPr>
          <w:rFonts w:hint="eastAsia"/>
        </w:rPr>
        <w:t>开设“弘德育才”思政学堂</w:t>
      </w:r>
      <w:bookmarkEnd w:id="65"/>
      <w:r>
        <w:rPr>
          <w:rFonts w:hint="eastAsia"/>
          <w:lang w:val="en-US" w:eastAsia="zh-CN"/>
        </w:rPr>
        <w:t xml:space="preserve">      </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Heiti SC Medium" w:hAnsi="Heiti SC Medium" w:eastAsia="Heiti SC Medium" w:cs="Heiti SC Medium"/>
          <w:b/>
          <w:bCs w:val="0"/>
          <w:color w:val="auto"/>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通过领读国学经典、聆听新时代歌曲、开展寻找身边工匠精神系列活动，推出文化育人线上作品43期，打造“建院精神”主题公开课，弘扬时代精神、工匠精神。</w:t>
      </w:r>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lang w:eastAsia="zh-CN"/>
        </w:rPr>
      </w:pPr>
      <w:bookmarkStart w:id="66" w:name="_Toc22453"/>
      <w:r>
        <w:rPr>
          <w:rFonts w:hint="eastAsia"/>
        </w:rPr>
        <w:t>三、教学改革</w:t>
      </w:r>
      <w:bookmarkEnd w:id="33"/>
      <w:bookmarkEnd w:id="34"/>
      <w:bookmarkEnd w:id="66"/>
    </w:p>
    <w:p>
      <w:pPr>
        <w:pStyle w:val="4"/>
        <w:keepNext/>
        <w:keepLines/>
        <w:pageBreakBefore w:val="0"/>
        <w:widowControl w:val="0"/>
        <w:kinsoku/>
        <w:wordWrap/>
        <w:overflowPunct/>
        <w:topLinePunct w:val="0"/>
        <w:autoSpaceDE/>
        <w:autoSpaceDN/>
        <w:bidi w:val="0"/>
        <w:adjustRightInd/>
        <w:snapToGrid/>
        <w:spacing w:line="560" w:lineRule="exact"/>
        <w:ind w:left="0" w:leftChars="0" w:firstLine="321" w:firstLineChars="100"/>
        <w:textAlignment w:val="auto"/>
        <w:rPr>
          <w:rFonts w:hint="eastAsia"/>
        </w:rPr>
      </w:pPr>
      <w:bookmarkStart w:id="67" w:name="_Toc15807"/>
      <w:bookmarkStart w:id="68" w:name="_Toc2"/>
      <w:bookmarkStart w:id="69" w:name="_Toc10646_WPSOffice_Level2"/>
      <w:bookmarkStart w:id="70" w:name="_Toc437380309"/>
      <w:bookmarkStart w:id="71" w:name="_Toc8633"/>
      <w:bookmarkStart w:id="72" w:name="_Toc4154_WPSOffice_Level2"/>
      <w:bookmarkStart w:id="73" w:name="_Toc377394801"/>
      <w:r>
        <w:rPr>
          <w:rFonts w:hint="eastAsia"/>
        </w:rPr>
        <w:t>（一）加强内涵建设，提升优势专业的引领作用</w:t>
      </w:r>
      <w:bookmarkEnd w:id="67"/>
      <w:bookmarkEnd w:id="68"/>
      <w:bookmarkEnd w:id="69"/>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000000"/>
          <w:sz w:val="32"/>
          <w:szCs w:val="32"/>
        </w:rPr>
        <w:t>大力推动人才培养模式改革，加强专业建设，促进教学质量显著提高。我校现有专业41个，分梯度建设七大专业群，合理搭建专业结构，加大骨干专业投入，提升优势专业的引领作用。学校建筑工程技术、工程造价、市政工程技术、建筑设计、建筑设备工程技术和建筑装饰技术等6个骨干专业先后获批自治区示范特色专业及实训基地建设项目，共获得专项建设资金6000万元，凸显了学校骨干专业引领全区同类专业的优势地位，同时带动了相关专业群的建设。</w:t>
      </w:r>
      <w:r>
        <w:rPr>
          <w:rFonts w:hint="eastAsia" w:ascii="仿宋_GB2312" w:hAnsi="仿宋_GB2312" w:eastAsia="仿宋_GB2312" w:cs="仿宋_GB2312"/>
          <w:sz w:val="32"/>
          <w:szCs w:val="32"/>
        </w:rPr>
        <w:t>建筑工程技术专业教学团队获批全国首批“国家级职业教育教师教学创新团队立项建设单位”；</w:t>
      </w:r>
      <w:r>
        <w:rPr>
          <w:rFonts w:hint="eastAsia" w:ascii="仿宋_GB2312" w:hAnsi="仿宋_GB2312" w:eastAsia="仿宋_GB2312" w:cs="仿宋_GB2312"/>
          <w:color w:val="000000"/>
          <w:sz w:val="32"/>
          <w:szCs w:val="32"/>
        </w:rPr>
        <w:t>“建筑工程技术专业群”获批为“高水平专业群建设单位”，该专业群以建筑工程技术为核心专业，由工程测量技术、建设工程监理、土木工程检测技术三个骨干专业组成。同时广西高水平高职学校和高水平专业建设获批，确立了我校建筑工程技术专业群、建筑工程管理专业群在全区、乃至全国的领先优势地位。2020年新设人工智能技术服务专业，建设教育部“AI+智慧学习”共建人工智能项目，该项目将为人工智能制造领域及建筑行业的人工智能培养人才，为广西甚至全国的人工智能产业发展</w:t>
      </w:r>
      <w:r>
        <w:rPr>
          <w:rFonts w:hint="eastAsia" w:ascii="仿宋_GB2312" w:hAnsi="仿宋_GB2312" w:eastAsia="仿宋_GB2312" w:cs="仿宋_GB2312"/>
          <w:color w:val="auto"/>
          <w:sz w:val="32"/>
          <w:szCs w:val="32"/>
          <w:highlight w:val="none"/>
          <w:lang w:val="en-US" w:eastAsia="zh-CN"/>
        </w:rPr>
        <w:t>提供有力人才支撑。</w:t>
      </w:r>
      <w:bookmarkEnd w:id="70"/>
      <w:bookmarkEnd w:id="71"/>
      <w:bookmarkEnd w:id="72"/>
    </w:p>
    <w:p>
      <w:pPr>
        <w:pStyle w:val="4"/>
        <w:keepNext/>
        <w:keepLines/>
        <w:pageBreakBefore w:val="0"/>
        <w:widowControl w:val="0"/>
        <w:kinsoku/>
        <w:wordWrap/>
        <w:overflowPunct/>
        <w:topLinePunct w:val="0"/>
        <w:autoSpaceDE/>
        <w:autoSpaceDN/>
        <w:bidi w:val="0"/>
        <w:adjustRightInd/>
        <w:snapToGrid/>
        <w:spacing w:line="0" w:lineRule="atLeast"/>
        <w:ind w:left="0" w:leftChars="0" w:firstLine="321" w:firstLineChars="100"/>
        <w:textAlignment w:val="auto"/>
        <w:rPr>
          <w:rFonts w:hint="eastAsia"/>
          <w:lang w:val="en-US" w:eastAsia="zh-CN"/>
        </w:rPr>
      </w:pPr>
      <w:bookmarkStart w:id="74" w:name="_Toc16417"/>
      <w:r>
        <w:rPr>
          <w:rFonts w:hint="eastAsia"/>
          <w:lang w:val="en-US" w:eastAsia="zh-CN"/>
        </w:rPr>
        <w:t>（二）不断深化教育教学改革</w:t>
      </w:r>
      <w:bookmarkEnd w:id="74"/>
    </w:p>
    <w:p>
      <w:pPr>
        <w:pStyle w:val="5"/>
        <w:keepNext/>
        <w:keepLines/>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lang w:val="en-US" w:eastAsia="zh-CN"/>
        </w:rPr>
      </w:pPr>
      <w:bookmarkStart w:id="75" w:name="_Toc25825"/>
      <w:r>
        <w:rPr>
          <w:rFonts w:hint="eastAsia" w:ascii="仿宋_GB2312" w:hAnsi="仿宋_GB2312" w:eastAsia="仿宋_GB2312" w:cs="仿宋_GB2312"/>
          <w:lang w:val="en-US" w:eastAsia="zh-CN"/>
        </w:rPr>
        <w:t>1.构建“德技双修，双课融通，五育并举”的人才培养体系</w:t>
      </w:r>
      <w:bookmarkEnd w:id="75"/>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auto"/>
          <w:sz w:val="32"/>
          <w:szCs w:val="32"/>
          <w:highlight w:val="none"/>
          <w:lang w:val="en-US" w:eastAsia="zh-CN"/>
        </w:rPr>
        <w:t>以“对照标准、结合实际、符合目标、凝炼特色”为原</w:t>
      </w:r>
      <w:r>
        <w:rPr>
          <w:rFonts w:hint="eastAsia" w:ascii="仿宋_GB2312" w:hAnsi="仿宋_GB2312" w:eastAsia="仿宋_GB2312" w:cs="仿宋_GB2312"/>
          <w:b w:val="0"/>
          <w:bCs w:val="0"/>
          <w:color w:val="000000"/>
          <w:sz w:val="32"/>
          <w:szCs w:val="32"/>
        </w:rPr>
        <w:t>则，组织各系专业人才培养方案进行修订，根据职业技能等级标准和专业教学标准，将证书培训内容有机融入专业人才培养方案，实现专业教学标准与职业技能等级标准、专业教学过程与职业技能培训过程、专业课程考核与职业技能等级考核“三对接”，践行融通学历教育课程与职业技能等级证书、在专业教学标准下优化课程标准、培养复合型技术技能专业人才“三改革”。</w:t>
      </w:r>
    </w:p>
    <w:p>
      <w:pPr>
        <w:pStyle w:val="12"/>
        <w:pageBreakBefore w:val="0"/>
        <w:shd w:val="clear" w:color="auto" w:fill="FFFFFF"/>
        <w:kinsoku/>
        <w:wordWrap/>
        <w:overflowPunct/>
        <w:topLinePunct w:val="0"/>
        <w:bidi w:val="0"/>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深化第一课堂，拓展第二课堂。把思想素养、创新创业、实践素养、身心健康、文化素养、职业素养等七个模块的课程设置必修课或选修课，探索学生喜闻乐见的项目及载体，开设“弘扬传统文化，厚植家国情怀”多类型的通识课程，充分发挥第二课堂育人实效，逐步完善的人才培养体系。</w:t>
      </w:r>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000000"/>
          <w:sz w:val="32"/>
          <w:szCs w:val="32"/>
        </w:rPr>
        <w:t>为更好融通第一课堂和第二课堂，形成育人合力，我校积极拓展第二课堂。修订《第二课堂创新创业学分认定办法》《第二课堂成绩单》，建立和完善“第二课堂成绩单”制度，形成学生素质教育协同育人机制。根据建设行业岗位特点，加大理实一体化课程比例，修订《劳动课课程标准》，丰富第二课堂学分认定内容，明确“职业技能等级证书”的学分认定范围，除传统的考证、科研、技能竞赛、阅读获得学分</w:t>
      </w:r>
      <w:r>
        <w:rPr>
          <w:rFonts w:hint="eastAsia" w:ascii="仿宋_GB2312" w:hAnsi="仿宋_GB2312" w:eastAsia="仿宋_GB2312" w:cs="仿宋_GB2312"/>
          <w:color w:val="auto"/>
          <w:sz w:val="32"/>
          <w:szCs w:val="32"/>
          <w:highlight w:val="none"/>
          <w:lang w:val="en-US" w:eastAsia="zh-CN"/>
        </w:rPr>
        <w:t>认定外，加大“劳动学分”认定力度，建立和完善德智体美劳“五育”全方位全过程融合并举的育人体系。</w:t>
      </w:r>
    </w:p>
    <w:p>
      <w:pPr>
        <w:pStyle w:val="5"/>
        <w:pageBreakBefore w:val="0"/>
        <w:widowControl w:val="0"/>
        <w:kinsoku/>
        <w:wordWrap/>
        <w:overflowPunct/>
        <w:topLinePunct w:val="0"/>
        <w:autoSpaceDE/>
        <w:autoSpaceDN/>
        <w:bidi w:val="0"/>
        <w:adjustRightInd/>
        <w:snapToGrid/>
        <w:spacing w:line="0" w:lineRule="atLeast"/>
        <w:textAlignment w:val="auto"/>
        <w:rPr>
          <w:rFonts w:hint="eastAsia"/>
          <w:lang w:val="en-US" w:eastAsia="zh-CN"/>
        </w:rPr>
      </w:pPr>
      <w:bookmarkStart w:id="76" w:name="_Toc22202"/>
      <w:bookmarkStart w:id="77" w:name="_Toc17933_WPSOffice_Level3"/>
      <w:r>
        <w:rPr>
          <w:rFonts w:hint="eastAsia"/>
          <w:lang w:val="en-US" w:eastAsia="zh-CN"/>
        </w:rPr>
        <w:t>2.三管齐下，积极推进“三教改革”</w:t>
      </w:r>
      <w:bookmarkEnd w:id="76"/>
      <w:bookmarkEnd w:id="77"/>
    </w:p>
    <w:p>
      <w:pPr>
        <w:pageBreakBefore w:val="0"/>
        <w:widowControl w:val="0"/>
        <w:kinsoku/>
        <w:wordWrap/>
        <w:overflowPunct/>
        <w:topLinePunct w:val="0"/>
        <w:autoSpaceDE/>
        <w:autoSpaceDN/>
        <w:bidi w:val="0"/>
        <w:adjustRightInd/>
        <w:snapToGrid/>
        <w:spacing w:line="0" w:lineRule="atLeast"/>
        <w:ind w:left="0" w:leftChars="0" w:right="0" w:rightChars="0" w:firstLine="321" w:firstLineChars="100"/>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（1）打造“创新型”教学团队</w:t>
      </w:r>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auto"/>
          <w:sz w:val="32"/>
          <w:szCs w:val="32"/>
          <w:highlight w:val="none"/>
          <w:lang w:val="en-US" w:eastAsia="zh-CN"/>
        </w:rPr>
        <w:t>我校根据产业升级、专业发展需要，科学制订教师发展</w:t>
      </w:r>
      <w:r>
        <w:rPr>
          <w:rFonts w:hint="eastAsia" w:ascii="仿宋_GB2312" w:hAnsi="仿宋_GB2312" w:eastAsia="仿宋_GB2312" w:cs="仿宋_GB2312"/>
          <w:color w:val="000000"/>
          <w:sz w:val="32"/>
          <w:szCs w:val="32"/>
        </w:rPr>
        <w:t>规划，明确教师队伍的建设目标、原则、任务和保障措施，实施教学能力提升计划。建筑工程技术专业教师团队获批为国家级职业教育教师教学创新团队。学校还通过外引内培，通过邀请专家、送出培训、观摩、参加比赛等全方位、立体式的建设，全面提升教师教学能力和水平。</w:t>
      </w:r>
    </w:p>
    <w:p>
      <w:pPr>
        <w:pageBreakBefore w:val="0"/>
        <w:kinsoku/>
        <w:wordWrap/>
        <w:overflowPunct/>
        <w:topLinePunct w:val="0"/>
        <w:bidi w:val="0"/>
        <w:spacing w:line="560" w:lineRule="exact"/>
        <w:ind w:right="0" w:rightChars="0" w:firstLine="320" w:firstLineChars="100"/>
        <w:textAlignment w:val="auto"/>
        <w:rPr>
          <w:rFonts w:hint="eastAsia" w:ascii="仿宋_GB2312" w:hAnsi="仿宋_GB2312" w:eastAsia="仿宋_GB2312" w:cs="仿宋_GB2312"/>
          <w:b/>
          <w:bCs/>
          <w:sz w:val="32"/>
          <w:szCs w:val="32"/>
          <w:lang w:bidi="ar"/>
        </w:rPr>
      </w:pPr>
      <w:bookmarkStart w:id="78" w:name="_Toc32104_WPSOffice_Level3"/>
      <w:r>
        <w:rPr>
          <w:rFonts w:hint="eastAsia" w:ascii="仿宋_GB2312" w:hAnsi="仿宋_GB2312" w:eastAsia="仿宋_GB2312" w:cs="仿宋_GB2312"/>
          <w:sz w:val="32"/>
          <w:szCs w:val="32"/>
          <w:lang w:bidi="ar"/>
        </w:rPr>
        <w:t xml:space="preserve"> </w:t>
      </w:r>
      <w:r>
        <w:rPr>
          <w:rFonts w:hint="eastAsia" w:ascii="仿宋_GB2312" w:hAnsi="仿宋_GB2312" w:eastAsia="仿宋_GB2312" w:cs="仿宋_GB2312"/>
          <w:b/>
          <w:bCs/>
          <w:sz w:val="32"/>
          <w:szCs w:val="32"/>
          <w:lang w:bidi="ar"/>
        </w:rPr>
        <w:t>（2）构建特色高水平专业群课程体系，提升人才培养质量</w:t>
      </w:r>
    </w:p>
    <w:p>
      <w:pPr>
        <w:pStyle w:val="6"/>
        <w:pageBreakBefore w:val="0"/>
        <w:kinsoku/>
        <w:wordWrap/>
        <w:overflowPunct/>
        <w:topLinePunct w:val="0"/>
        <w:bidi w:val="0"/>
        <w:spacing w:line="560" w:lineRule="exact"/>
        <w:ind w:left="0" w:right="0" w:rightChars="0"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贯彻落实全国高校思想政治工作会议精神，探索符合学校特色的课程体系。2020年6月召开了全校教育工作会，出台了引领学校未来三年课程思政工作的纲领文件《广西建设职业技术学院课程思政建设工作方案》，进一步明确了“课程思政”建设实施要求，探索实现“课程思政”的新方法新路径。方案“以遵循教育规律、坚持改革创新、坚持分类指导、强化建筑教育”为原则，在“重点内容”中专门列出要“把思想政治教育贯穿职业教育全过程”，并提出了“五大规划”，突出“课程思政”内涵发展，致力于培养高素质人才。</w:t>
      </w:r>
    </w:p>
    <w:p>
      <w:pPr>
        <w:pStyle w:val="6"/>
        <w:pageBreakBefore w:val="0"/>
        <w:kinsoku/>
        <w:wordWrap/>
        <w:overflowPunct/>
        <w:topLinePunct w:val="0"/>
        <w:bidi w:val="0"/>
        <w:spacing w:line="560" w:lineRule="exact"/>
        <w:ind w:left="0" w:right="0" w:rightChars="0" w:firstLine="640"/>
        <w:textAlignment w:val="auto"/>
        <w:rPr>
          <w:rFonts w:hint="eastAsia" w:ascii="仿宋_GB2312" w:hAnsi="仿宋_GB2312" w:eastAsia="仿宋_GB2312" w:cs="仿宋_GB2312"/>
          <w:b/>
          <w:bCs/>
          <w:sz w:val="32"/>
          <w:szCs w:val="32"/>
          <w:lang w:bidi="ar"/>
        </w:rPr>
      </w:pPr>
      <w:r>
        <w:rPr>
          <w:rFonts w:hint="eastAsia" w:ascii="仿宋_GB2312" w:hAnsi="仿宋_GB2312" w:eastAsia="仿宋_GB2312" w:cs="仿宋_GB2312"/>
          <w:color w:val="000000"/>
          <w:sz w:val="32"/>
          <w:szCs w:val="32"/>
        </w:rPr>
        <w:t>同时，根据学校自身独特的办学优势与服务，面向产业链、岗位链、人才链的需求，以优势、特色专业为核心，按行业基础、技术基础相同或相近原则，充分融合相关专业形成专业集合，将原有的课程模块化，打破专业之间的壁垒，聚焦课程与岗位的能力要求，建立课程体系标准，并与数字化职业技能相结合。如基于建筑职业工作过程能力需求，重构模块化教学能力课程，在此基础上拆分若干模块专项内容，形成“1+BIM课程魔方”“大中小模块”灵活组合的模块式课程结构，逐步建设可灵活调整的课程模块库，设立跨专业教学组织（BIM创新中心等），构建活模块、多层次、适应“五育”综合素质要求的建筑工程技术专业群课程体系，主动适应建筑业“全周期、全方位、多层次、多类型”人才发展需求新格局，致力于培养建筑类复合型技术技能人才。</w:t>
      </w:r>
    </w:p>
    <w:p>
      <w:pPr>
        <w:pageBreakBefore w:val="0"/>
        <w:kinsoku/>
        <w:wordWrap/>
        <w:overflowPunct/>
        <w:topLinePunct w:val="0"/>
        <w:bidi w:val="0"/>
        <w:spacing w:line="560" w:lineRule="exact"/>
        <w:ind w:left="0" w:leftChars="0" w:right="0" w:rightChars="0" w:firstLine="321" w:firstLineChars="100"/>
        <w:textAlignment w:val="auto"/>
        <w:rPr>
          <w:rFonts w:hint="eastAsia" w:ascii="仿宋_GB2312" w:hAnsi="仿宋_GB2312" w:eastAsia="仿宋_GB2312" w:cs="仿宋_GB2312"/>
          <w:b/>
          <w:bCs/>
          <w:sz w:val="32"/>
          <w:szCs w:val="32"/>
          <w:lang w:bidi="ar"/>
        </w:rPr>
      </w:pPr>
      <w:r>
        <w:rPr>
          <w:rFonts w:hint="eastAsia" w:ascii="仿宋_GB2312" w:hAnsi="仿宋_GB2312" w:eastAsia="仿宋_GB2312" w:cs="仿宋_GB2312"/>
          <w:b/>
          <w:bCs/>
          <w:sz w:val="32"/>
          <w:szCs w:val="32"/>
          <w:lang w:bidi="ar"/>
        </w:rPr>
        <w:t>（3）打造智慧课堂助力教学改革，信息技术创新教学模式</w:t>
      </w:r>
    </w:p>
    <w:p>
      <w:pPr>
        <w:pageBreakBefore w:val="0"/>
        <w:kinsoku/>
        <w:wordWrap/>
        <w:overflowPunct/>
        <w:topLinePunct w:val="0"/>
        <w:bidi w:val="0"/>
        <w:adjustRightInd w:val="0"/>
        <w:spacing w:line="560" w:lineRule="exact"/>
        <w:ind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个教学平台运行，提升教育发展信息化水平。利用“超星”“智慧职教”“清华教育在线”和“建院云课堂”四个教学平台，为教师生提供网络课堂、教学管理能服务，进一步发挥优质教学资源的示范性和共享性。学校11个教学单位，依托数据平台和信息化教学资源，在线运行课程1233门，自建课程392门，在线课程占比38.5%。</w:t>
      </w:r>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rPr>
        <w:t>营造信息化教学环境，创新教学模式。通过信息技术与课堂教学融合的授课形式，使课堂探究活动更深入、有效，交流互动更立体、畅通，评价反馈更及时、多元，同时学生聚焦学习与个性化学习交互呈现，有效地促进了课堂生态平衡。为推动形成“课堂用、经常用、普遍用”的信息化教学新常态，学校把信息化教学的运用纳入教师绩效考核，逐步</w:t>
      </w:r>
      <w:r>
        <w:rPr>
          <w:rFonts w:hint="eastAsia" w:ascii="仿宋_GB2312" w:hAnsi="仿宋_GB2312" w:eastAsia="仿宋_GB2312" w:cs="仿宋_GB2312"/>
          <w:color w:val="auto"/>
          <w:sz w:val="32"/>
          <w:szCs w:val="32"/>
          <w:highlight w:val="none"/>
          <w:lang w:val="en-US" w:eastAsia="zh-CN"/>
        </w:rPr>
        <w:t>完善教学激励机制，提高教师课堂教学运用信息技术的积极性和能力。</w:t>
      </w:r>
    </w:p>
    <w:p>
      <w:pPr>
        <w:pStyle w:val="5"/>
        <w:pageBreakBefore w:val="0"/>
        <w:widowControl w:val="0"/>
        <w:kinsoku/>
        <w:wordWrap/>
        <w:overflowPunct/>
        <w:topLinePunct w:val="0"/>
        <w:autoSpaceDE/>
        <w:autoSpaceDN/>
        <w:bidi w:val="0"/>
        <w:adjustRightInd/>
        <w:snapToGrid/>
        <w:spacing w:line="0" w:lineRule="atLeast"/>
        <w:textAlignment w:val="auto"/>
        <w:rPr>
          <w:rFonts w:hint="eastAsia"/>
          <w:lang w:val="en-US" w:eastAsia="zh-CN"/>
        </w:rPr>
      </w:pPr>
      <w:bookmarkStart w:id="79" w:name="_Toc31962_WPSOffice_Level3"/>
      <w:bookmarkStart w:id="80" w:name="_Toc29333"/>
      <w:r>
        <w:rPr>
          <w:rFonts w:hint="eastAsia"/>
          <w:lang w:val="en-US" w:eastAsia="zh-CN"/>
        </w:rPr>
        <w:t>3.紧扣“双高”建设任务，有效推行1+X证书制度试点工作</w:t>
      </w:r>
      <w:bookmarkEnd w:id="79"/>
      <w:bookmarkEnd w:id="8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textAlignment w:val="auto"/>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auto"/>
          <w:sz w:val="32"/>
          <w:szCs w:val="32"/>
          <w:highlight w:val="none"/>
          <w:lang w:val="en-US" w:eastAsia="zh-CN"/>
        </w:rPr>
        <w:t>持续扩大X证书相关考试和培训。我校2020年度获自</w:t>
      </w:r>
      <w:r>
        <w:rPr>
          <w:rFonts w:hint="eastAsia" w:ascii="仿宋_GB2312" w:hAnsi="仿宋_GB2312" w:eastAsia="仿宋_GB2312" w:cs="仿宋_GB2312"/>
          <w:color w:val="000000"/>
          <w:sz w:val="32"/>
          <w:szCs w:val="32"/>
          <w:lang w:bidi="ar"/>
        </w:rPr>
        <w:t>治区教育厅备案通过职业技能等级证书共计13个，其中广西牵头试点院校证书7个。现已开展培训约2000人次，其中已组织9个职业技能等级17个批次的考试，累计考生人数达到873人。</w:t>
      </w:r>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截止12月，我校承办了广西2020年度第一期建筑信息模型（BIM）职业技能等级证书、广西2020年度第一期和第二期装配式建筑构件制作与安装职业技能等级证书、广西2020年度5G基站建设与维护职业技能等级证书4个批次的师资培训，来自全国高职、本科和企业共计198人参加了培训。</w:t>
      </w:r>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以1+X证书制度为抓手，积极推进教材开发。作为联合建设院校参与由廊坊市中科建筑产业化创新研究中心组织编写的《“1+X”建筑信息模型（BIM）职业技能等级证书系列教材》已于2020年3月起由高等教育出版社陆续出版，整套教材共10本，</w:t>
      </w:r>
      <w:r>
        <w:rPr>
          <w:rFonts w:hint="eastAsia" w:ascii="仿宋_GB2312" w:hAnsi="仿宋_GB2312" w:eastAsia="仿宋_GB2312" w:cs="仿宋_GB2312"/>
          <w:color w:val="000000"/>
          <w:kern w:val="0"/>
          <w:sz w:val="32"/>
          <w:szCs w:val="32"/>
        </w:rPr>
        <w:t>为推动1+X证书制度试点工作提供了有力的保障。</w:t>
      </w:r>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000000"/>
          <w:sz w:val="32"/>
          <w:szCs w:val="32"/>
          <w:lang w:bidi="ar"/>
        </w:rPr>
        <w:t>以教改课题立项为契机，不断深化教学改革。以2019年经自治区教育厅立项的教改课题《“1+X”证书制度背景下，建筑信息模型(BIM)紧缺技术技能型专门人才培养模式改革与实践——以广西建设职业技术学院建筑设计专业（群）为例》《1+X证书制度试点背景下BIM技术人才培养研究与实践》开展教学改革研究</w:t>
      </w:r>
      <w:r>
        <w:rPr>
          <w:rFonts w:hint="eastAsia" w:ascii="仿宋_GB2312" w:hAnsi="仿宋_GB2312" w:eastAsia="仿宋_GB2312" w:cs="仿宋_GB2312"/>
          <w:sz w:val="32"/>
          <w:szCs w:val="32"/>
          <w:lang w:bidi="ar"/>
        </w:rPr>
        <w:t>；以2020年经自治区教育厅立项的教改课题《“1+X课程重构魔方”——建筑工程技术专业群课程体系重构研究探索和实践》</w:t>
      </w:r>
      <w:r>
        <w:rPr>
          <w:rFonts w:hint="eastAsia" w:ascii="仿宋_GB2312" w:hAnsi="仿宋_GB2312" w:eastAsia="仿宋_GB2312" w:cs="仿宋_GB2312"/>
          <w:color w:val="000000"/>
          <w:sz w:val="32"/>
          <w:szCs w:val="32"/>
          <w:lang w:bidi="ar"/>
        </w:rPr>
        <w:t>组织专业教学团队</w:t>
      </w:r>
      <w:r>
        <w:rPr>
          <w:rFonts w:hint="eastAsia" w:ascii="仿宋_GB2312" w:hAnsi="仿宋_GB2312" w:eastAsia="仿宋_GB2312" w:cs="仿宋_GB2312"/>
          <w:color w:val="auto"/>
          <w:sz w:val="32"/>
          <w:szCs w:val="32"/>
          <w:highlight w:val="none"/>
          <w:lang w:val="en-US" w:eastAsia="zh-CN"/>
        </w:rPr>
        <w:t>进行1+X证书课程体系构建研究，为1+X证书制度的试点工作探索实践的路径。</w:t>
      </w:r>
    </w:p>
    <w:p>
      <w:pPr>
        <w:pStyle w:val="5"/>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lang w:val="en-US" w:eastAsia="zh-CN"/>
        </w:rPr>
      </w:pPr>
      <w:bookmarkStart w:id="81" w:name="_Toc21952"/>
      <w:r>
        <w:rPr>
          <w:rFonts w:hint="eastAsia" w:ascii="仿宋_GB2312" w:hAnsi="仿宋_GB2312" w:eastAsia="仿宋_GB2312" w:cs="仿宋_GB2312"/>
          <w:lang w:val="en-US" w:eastAsia="zh-CN"/>
        </w:rPr>
        <w:t>4.搭建职业教育人才培养的立交桥，打通职业教育的上升通道</w:t>
      </w:r>
      <w:bookmarkEnd w:id="81"/>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color w:val="auto"/>
          <w:sz w:val="32"/>
          <w:szCs w:val="32"/>
          <w:highlight w:val="none"/>
          <w:lang w:val="en-US" w:eastAsia="zh-CN"/>
        </w:rPr>
        <w:t>（1）本科建设工作迈出坚实一步。与桂林理工大学、广</w:t>
      </w:r>
      <w:r>
        <w:rPr>
          <w:rFonts w:hint="eastAsia" w:ascii="仿宋_GB2312" w:hAnsi="仿宋_GB2312" w:eastAsia="仿宋_GB2312" w:cs="仿宋_GB2312"/>
          <w:sz w:val="32"/>
          <w:szCs w:val="32"/>
        </w:rPr>
        <w:t>西大学行健文理学院签订联合培养专升本学生协议。2020年10月，与桂林理工大学联合培养专升本招生工程造价专业学生67人。与贺州学院、广西盛元华工程造价咨询有限公司联合开展应用型本科人才产教融合协同培养试点项目，共招生工程造价专业37人。这些探索标志着我</w:t>
      </w:r>
      <w:r>
        <w:rPr>
          <w:rFonts w:hint="eastAsia" w:ascii="仿宋_GB2312" w:hAnsi="仿宋_GB2312" w:eastAsia="仿宋_GB2312" w:cs="仿宋_GB2312"/>
          <w:sz w:val="32"/>
          <w:szCs w:val="32"/>
          <w:lang w:eastAsia="zh-CN"/>
        </w:rPr>
        <w:t>校</w:t>
      </w:r>
      <w:r>
        <w:rPr>
          <w:rFonts w:hint="eastAsia" w:ascii="仿宋_GB2312" w:hAnsi="仿宋_GB2312" w:eastAsia="仿宋_GB2312" w:cs="仿宋_GB2312"/>
          <w:sz w:val="32"/>
          <w:szCs w:val="32"/>
        </w:rPr>
        <w:t>在推动职业本科建设工作上迈出坚实一步。</w:t>
      </w:r>
    </w:p>
    <w:p>
      <w:pPr>
        <w:pageBreakBefore w:val="0"/>
        <w:kinsoku/>
        <w:wordWrap/>
        <w:overflowPunct/>
        <w:topLinePunct w:val="0"/>
        <w:bidi w:val="0"/>
        <w:spacing w:line="560" w:lineRule="exact"/>
        <w:ind w:left="0" w:leftChars="0" w:right="0" w:rightChars="0" w:firstLine="321" w:firstLine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（2）专升本工作实现新突破。</w:t>
      </w:r>
      <w:r>
        <w:rPr>
          <w:rFonts w:hint="eastAsia" w:ascii="仿宋_GB2312" w:hAnsi="仿宋_GB2312" w:eastAsia="仿宋_GB2312" w:cs="仿宋_GB2312"/>
          <w:sz w:val="32"/>
          <w:szCs w:val="32"/>
        </w:rPr>
        <w:t>1206名优秀毕业生升入15所本科院校，升本人数及升入本科院校数均达到历史之最，实现我校全部专业至少能与一所公办本科院校和一所独立院校专业的全对接。</w:t>
      </w:r>
    </w:p>
    <w:p>
      <w:pPr>
        <w:pageBreakBefore w:val="0"/>
        <w:kinsoku/>
        <w:wordWrap/>
        <w:overflowPunct/>
        <w:topLinePunct w:val="0"/>
        <w:bidi w:val="0"/>
        <w:spacing w:line="560" w:lineRule="exact"/>
        <w:ind w:left="0" w:leftChars="0" w:right="0" w:rightChars="0" w:firstLine="321" w:firstLineChars="1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sz w:val="32"/>
          <w:szCs w:val="32"/>
        </w:rPr>
        <w:t>（3）中高职联合办学精准施教。</w:t>
      </w:r>
      <w:r>
        <w:rPr>
          <w:rFonts w:hint="eastAsia" w:ascii="仿宋_GB2312" w:hAnsi="仿宋_GB2312" w:eastAsia="仿宋_GB2312" w:cs="仿宋_GB2312"/>
          <w:sz w:val="32"/>
          <w:szCs w:val="32"/>
        </w:rPr>
        <w:t>目前，我</w:t>
      </w:r>
      <w:r>
        <w:rPr>
          <w:rFonts w:hint="eastAsia" w:ascii="仿宋_GB2312" w:hAnsi="仿宋_GB2312" w:eastAsia="仿宋_GB2312" w:cs="仿宋_GB2312"/>
          <w:sz w:val="32"/>
          <w:szCs w:val="32"/>
          <w:lang w:eastAsia="zh-CN"/>
        </w:rPr>
        <w:t>校</w:t>
      </w:r>
      <w:r>
        <w:rPr>
          <w:rFonts w:hint="eastAsia" w:ascii="仿宋_GB2312" w:hAnsi="仿宋_GB2312" w:eastAsia="仿宋_GB2312" w:cs="仿宋_GB2312"/>
          <w:sz w:val="32"/>
          <w:szCs w:val="32"/>
        </w:rPr>
        <w:t>与广西城市建设学校联合培养学生将近百人，2019年招收74人，2020年招收21人，双方共同研制扩招专业人才培养方案，精准设置教学内容，精当处理教学安排，精细化过程管理，助力扩招人员学有成效。与广西众泰建设工程发展有限公司联合</w:t>
      </w:r>
      <w:r>
        <w:rPr>
          <w:rFonts w:hint="eastAsia" w:ascii="仿宋_GB2312" w:hAnsi="仿宋_GB2312" w:eastAsia="仿宋_GB2312" w:cs="仿宋_GB2312"/>
          <w:color w:val="auto"/>
          <w:sz w:val="32"/>
          <w:szCs w:val="32"/>
          <w:highlight w:val="none"/>
          <w:lang w:val="en-US" w:eastAsia="zh-CN"/>
        </w:rPr>
        <w:t>开办现代学徒制联合培养班，共招生学生36人，落实教育精准扶贫，助力贫困学子成长成才。</w:t>
      </w:r>
      <w:bookmarkEnd w:id="78"/>
    </w:p>
    <w:p>
      <w:pPr>
        <w:pStyle w:val="5"/>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lang w:val="en-US" w:eastAsia="zh-CN"/>
        </w:rPr>
      </w:pPr>
      <w:bookmarkStart w:id="82" w:name="_Toc10037"/>
      <w:bookmarkStart w:id="83" w:name="_Toc30134_WPSOffice_Level2"/>
      <w:r>
        <w:rPr>
          <w:rFonts w:hint="eastAsia" w:ascii="仿宋_GB2312" w:hAnsi="仿宋_GB2312" w:eastAsia="仿宋_GB2312" w:cs="仿宋_GB2312"/>
          <w:lang w:val="en-US" w:eastAsia="zh-CN"/>
        </w:rPr>
        <w:t>5.校企合作建立“现代学徒制”“产业学院”，产教融合探索“双主体育人”</w:t>
      </w:r>
      <w:bookmarkEnd w:id="8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我校坚持走“产教融合，校企合作”发展之路，形成了“学校社会双向参与、专业职业双业融合、学校企业双元培</w:t>
      </w:r>
      <w:r>
        <w:rPr>
          <w:rFonts w:hint="eastAsia" w:ascii="仿宋_GB2312" w:hAnsi="仿宋_GB2312" w:eastAsia="仿宋_GB2312" w:cs="仿宋_GB2312"/>
          <w:color w:val="000000"/>
          <w:sz w:val="32"/>
          <w:szCs w:val="32"/>
          <w:lang w:bidi="ar"/>
        </w:rPr>
        <w:t>养”的人才培养模式。国家现代学徒制试点项目验收通过。与桂林建昌建设有限公司、广西众泰建筑工程发展有限公司、</w:t>
      </w:r>
      <w:r>
        <w:rPr>
          <w:rFonts w:hint="eastAsia" w:ascii="仿宋_GB2312" w:hAnsi="仿宋_GB2312" w:eastAsia="仿宋_GB2312" w:cs="仿宋_GB2312"/>
          <w:sz w:val="32"/>
          <w:szCs w:val="32"/>
        </w:rPr>
        <w:t>广西建工大都租赁有限公司签订校企合作协议，合作开办现代学徒制班级</w:t>
      </w:r>
      <w:r>
        <w:rPr>
          <w:rFonts w:hint="eastAsia" w:ascii="仿宋_GB2312" w:hAnsi="仿宋_GB2312" w:eastAsia="仿宋_GB2312" w:cs="仿宋_GB2312"/>
          <w:color w:val="000000"/>
          <w:sz w:val="32"/>
          <w:szCs w:val="32"/>
          <w:lang w:bidi="ar"/>
        </w:rPr>
        <w:t>，落实校企双主体育人，助力职教精准扶贫。与广西建工集团控股有限公司、广联达科技股份有限公司共建智慧建造产业学院，校企双方共同探索建立就业、职业、产业、行业和企业“五业联动”的产教深度融合新机制，加快行业创新人才培养，促进行业高质量发展。</w:t>
      </w:r>
      <w:bookmarkEnd w:id="83"/>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发挥企业重要主体作用，促进人才培养供给侧和产业需求侧结构要素全方位融合，依托学校校企合作发展理事会、广西建设职业教育集团、广西建筑职业教育教学指导委员会优质平台，以“工学结合，校企协同育人，过程共管，成果共享，优势互补，校企双赢”为合作理念，大力推进创新人才培养模式。</w:t>
      </w:r>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我校校企合作发展理事会成员单位已达107家，职业教育集团成员单位84家，目前共有14家校企合作单位进驻我校，建立校中厂，办公场所面积近6350平方米，工作人员232人，实现产值5200余万元。校企共同建立了218个稳定的校外实习实训基地，形成了“依托行业，校企合作，以产促学，服务地方”的办学特色，以校中厂、厂中校作为学生实践、实训场所，进行校企订单培养模式。</w:t>
      </w:r>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t>深化校企双主体育人机制，打通人才培养立交桥，逐步形成集团化办学模式，我校与集团内中职学校、合作企业共同研究、编制专业人才培养方案42份，明确各专业教学标准，将职业技能等级证书培训与课程标准有机融合，实现中高职专业课程有机衔接、学校知识传授、技能培养与企业岗位需求衔接，努力践行校企“七个共同”，实现教师团队、教学资源、教学方法和教材联合共建，共同编制新型活页式教材5本、工作手册式教材2本，以企业实际项目为载体，通过项目各环节工作任务使学生充分掌握岗位所需的技术技能；同时，校企共同编写“1+X”证书制度配套教材5本，校企共建自治区级精品课程2门，自治区级专业教学资源库4门，有效实现教学资源共建、共享。及时将行业发展方向与新技术、新工艺融入人才培养全过程，及时完善职业教育集团信息填报，对集团组织形式、集团制度建设、集团运行转台、集团办学成效、集团服务能力、保障机制、集团教学情况、集团特色创新等方面进行资料整理与总结。于2019年10月28日获批为自治区第二批示范性职业教育集团，并由自治区教育推荐申报国家级职教集团试点单位，于2020年10月15日获批为第一批示范性职业教育集团（联盟）培育单位。</w:t>
      </w:r>
    </w:p>
    <w:p>
      <w:pPr>
        <w:pStyle w:val="4"/>
        <w:bidi w:val="0"/>
        <w:ind w:left="0" w:leftChars="0" w:firstLine="321" w:firstLineChars="100"/>
        <w:rPr>
          <w:rFonts w:hint="eastAsia"/>
          <w:lang w:val="en-US" w:eastAsia="zh-CN"/>
        </w:rPr>
      </w:pPr>
      <w:bookmarkStart w:id="84" w:name="_Toc9318"/>
      <w:r>
        <w:rPr>
          <w:rFonts w:hint="eastAsia"/>
          <w:lang w:val="en-US" w:eastAsia="zh-CN"/>
        </w:rPr>
        <w:t>（四）实训基地建设</w:t>
      </w:r>
      <w:bookmarkEnd w:id="84"/>
    </w:p>
    <w:p>
      <w:pPr>
        <w:pageBreakBefore w:val="0"/>
        <w:kinsoku/>
        <w:wordWrap/>
        <w:overflowPunct/>
        <w:topLinePunct w:val="0"/>
        <w:bidi w:val="0"/>
        <w:spacing w:line="560" w:lineRule="exact"/>
        <w:ind w:right="0" w:righ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实训基地建设按照统筹规划、互惠互利、合理设置、全面开放、资源共享的原则，依托</w:t>
      </w:r>
      <w:r>
        <w:rPr>
          <w:rFonts w:hint="eastAsia" w:ascii="仿宋_GB2312" w:hAnsi="仿宋_GB2312" w:eastAsia="仿宋_GB2312" w:cs="仿宋_GB2312"/>
          <w:sz w:val="32"/>
          <w:szCs w:val="32"/>
          <w:highlight w:val="none"/>
          <w:lang w:eastAsia="zh-CN"/>
        </w:rPr>
        <w:t>学校</w:t>
      </w:r>
      <w:r>
        <w:rPr>
          <w:rFonts w:hint="eastAsia" w:ascii="仿宋_GB2312" w:hAnsi="仿宋_GB2312" w:eastAsia="仿宋_GB2312" w:cs="仿宋_GB2312"/>
          <w:sz w:val="32"/>
          <w:szCs w:val="32"/>
          <w:highlight w:val="none"/>
        </w:rPr>
        <w:t>校企合作发展理事会、广西建设职业教育集团、广西建筑职业教育教学指导委员会优质平台，尽可能与专业有关的企事业单位合作，使学生在尽可能真实的职业环境中进行生产性实训和顶岗实习，大力推进创新人才培养模式。</w:t>
      </w:r>
    </w:p>
    <w:p>
      <w:pPr>
        <w:pageBreakBefore w:val="0"/>
        <w:kinsoku/>
        <w:wordWrap/>
        <w:overflowPunct/>
        <w:topLinePunct w:val="0"/>
        <w:bidi w:val="0"/>
        <w:spacing w:line="560" w:lineRule="exact"/>
        <w:ind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学校</w:t>
      </w:r>
      <w:r>
        <w:rPr>
          <w:rFonts w:hint="eastAsia" w:ascii="仿宋_GB2312" w:hAnsi="仿宋_GB2312" w:eastAsia="仿宋_GB2312" w:cs="仿宋_GB2312"/>
          <w:sz w:val="32"/>
          <w:szCs w:val="32"/>
          <w:highlight w:val="none"/>
        </w:rPr>
        <w:t>先后投入近2000多万元，建成</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1+X</w:t>
      </w:r>
      <w:r>
        <w:rPr>
          <w:rFonts w:hint="eastAsia" w:ascii="仿宋_GB2312" w:hAnsi="仿宋_GB2312" w:eastAsia="仿宋_GB2312" w:cs="仿宋_GB2312"/>
          <w:sz w:val="32"/>
          <w:szCs w:val="32"/>
          <w:highlight w:val="none"/>
          <w:lang w:eastAsia="zh-CN"/>
        </w:rPr>
        <w:t>”教训培考一体化基地</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AI+人工智能学院，提升改造6间实训室</w:t>
      </w:r>
      <w:r>
        <w:rPr>
          <w:rFonts w:hint="eastAsia" w:ascii="仿宋_GB2312" w:hAnsi="仿宋_GB2312" w:eastAsia="仿宋_GB2312" w:cs="仿宋_GB2312"/>
          <w:sz w:val="32"/>
          <w:szCs w:val="32"/>
          <w:highlight w:val="none"/>
        </w:rPr>
        <w:t>等一批实训基地，在满足学生实践性教学要求的前提下，同时也能为行业、社会的技术性人才开展实践性教学和各类专门性培训。</w:t>
      </w:r>
    </w:p>
    <w:p>
      <w:pPr>
        <w:pStyle w:val="4"/>
        <w:bidi w:val="0"/>
        <w:rPr>
          <w:rFonts w:hint="eastAsia"/>
          <w:lang w:val="en-US" w:eastAsia="zh-CN"/>
        </w:rPr>
      </w:pPr>
      <w:bookmarkStart w:id="85" w:name="_Toc28887"/>
      <w:r>
        <w:rPr>
          <w:rFonts w:hint="eastAsia"/>
          <w:lang w:val="en-US" w:eastAsia="zh-CN"/>
        </w:rPr>
        <w:t>（五）</w:t>
      </w:r>
      <w:bookmarkEnd w:id="73"/>
      <w:bookmarkStart w:id="86" w:name="_Toc437380315"/>
      <w:bookmarkStart w:id="87" w:name="_Toc22561"/>
      <w:r>
        <w:rPr>
          <w:rFonts w:hint="eastAsia"/>
          <w:lang w:val="en-US" w:eastAsia="zh-CN"/>
        </w:rPr>
        <w:t>凝心聚力，扎实推进科研工作取得新突破</w:t>
      </w:r>
      <w:bookmarkEnd w:id="85"/>
      <w:r>
        <w:rPr>
          <w:rFonts w:hint="eastAsia"/>
          <w:lang w:val="en-US" w:eastAsia="zh-CN"/>
        </w:rPr>
        <w:t xml:space="preserve"> </w:t>
      </w:r>
    </w:p>
    <w:p>
      <w:pPr>
        <w:pageBreakBefore w:val="0"/>
        <w:numPr>
          <w:ilvl w:val="0"/>
          <w:numId w:val="0"/>
        </w:numPr>
        <w:kinsoku/>
        <w:wordWrap/>
        <w:overflowPunct/>
        <w:topLinePunct w:val="0"/>
        <w:bidi w:val="0"/>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z w:val="32"/>
          <w:szCs w:val="32"/>
          <w:lang w:val="en-US" w:eastAsia="zh-CN"/>
        </w:rPr>
        <w:t>落实主体责任，重点推进高层次科研项目立项工作。一</w:t>
      </w:r>
      <w:r>
        <w:rPr>
          <w:rFonts w:hint="eastAsia" w:ascii="仿宋_GB2312" w:hAnsi="仿宋_GB2312" w:eastAsia="仿宋_GB2312" w:cs="仿宋_GB2312"/>
          <w:sz w:val="32"/>
          <w:szCs w:val="32"/>
        </w:rPr>
        <w:t>方面充分发挥学术委员会作用，加强学术论证，严把“申报质量关”；另一方面加强与上级科研主管部门的沟通交流，及时掌握各级各类项目申报政策，拓宽项目申报渠道。</w:t>
      </w:r>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2020年学校科研创新能力显著增强，立项数量与层次取得新突破，科研经费大幅增长。学校共组织17批次100余项科研项目申报，7批次39项课题结题。获批科研项目立项 65项，其中国家级职教教师教学创新团队课题1项，实现国家级教育类科研项目零的突破。获批立项经费总额为120.1万元，同比增长34%。学校教职员工</w:t>
      </w:r>
      <w:r>
        <w:rPr>
          <w:rFonts w:hint="eastAsia" w:ascii="仿宋_GB2312" w:hAnsi="仿宋_GB2312" w:eastAsia="仿宋_GB2312" w:cs="仿宋_GB2312"/>
          <w:sz w:val="32"/>
          <w:szCs w:val="32"/>
          <w:lang w:val="zh-CN"/>
        </w:rPr>
        <w:t>发表学术论文18</w:t>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zh-CN"/>
        </w:rPr>
        <w:t>篇，其中SCI/EI/ISTP 6篇，中文核心期刊25篇。学校教职员工获得自治区级QC成果6项。组织专利申请73项，授权发明专利1项、实用新型专利56项、软件著作权9项。派代表</w:t>
      </w:r>
      <w:r>
        <w:rPr>
          <w:rFonts w:hint="eastAsia" w:ascii="仿宋_GB2312" w:hAnsi="仿宋_GB2312" w:eastAsia="仿宋_GB2312" w:cs="仿宋_GB2312"/>
          <w:sz w:val="32"/>
          <w:szCs w:val="32"/>
        </w:rPr>
        <w:t>参加广西壮族自治区人民政府、中国科学技术协会主办的全球高精新特展览会，展示BIM+装配式建筑、BIM+GIS跨界融合、BIM+AI等多个领域成果。</w:t>
      </w:r>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b w:val="0"/>
          <w:color w:val="auto"/>
          <w:sz w:val="32"/>
          <w:szCs w:val="32"/>
          <w:lang w:eastAsia="zh-CN"/>
        </w:rPr>
      </w:pPr>
      <w:r>
        <w:rPr>
          <w:rFonts w:hint="eastAsia" w:ascii="仿宋_GB2312" w:hAnsi="仿宋_GB2312" w:eastAsia="仿宋_GB2312" w:cs="仿宋_GB2312"/>
          <w:sz w:val="32"/>
          <w:szCs w:val="32"/>
        </w:rPr>
        <w:t>不断拓宽交流渠道，提升教师科研能力。2020年学校共</w:t>
      </w:r>
      <w:r>
        <w:rPr>
          <w:rFonts w:hint="eastAsia" w:ascii="仿宋_GB2312" w:hAnsi="仿宋_GB2312" w:eastAsia="仿宋_GB2312" w:cs="仿宋_GB2312"/>
          <w:sz w:val="32"/>
          <w:szCs w:val="32"/>
          <w:lang w:val="zh-CN"/>
        </w:rPr>
        <w:t>组织</w:t>
      </w:r>
      <w:r>
        <w:rPr>
          <w:rFonts w:hint="eastAsia" w:ascii="仿宋_GB2312" w:hAnsi="仿宋_GB2312" w:eastAsia="仿宋_GB2312" w:cs="仿宋_GB2312"/>
          <w:sz w:val="32"/>
          <w:szCs w:val="32"/>
        </w:rPr>
        <w:t>开展线下专题学术讲座11场，线上专题学术讲座9场，组织教师100余人次赴校外参加各级各类科研培训，组织教师50人参加第三次广西科技工作者状况调查（教育科技工作者篇）。</w:t>
      </w:r>
    </w:p>
    <w:p>
      <w:pPr>
        <w:pStyle w:val="3"/>
        <w:pageBreakBefore w:val="0"/>
        <w:widowControl w:val="0"/>
        <w:kinsoku/>
        <w:wordWrap/>
        <w:overflowPunct/>
        <w:topLinePunct w:val="0"/>
        <w:autoSpaceDE/>
        <w:autoSpaceDN/>
        <w:bidi w:val="0"/>
        <w:snapToGrid/>
        <w:spacing w:line="560" w:lineRule="exact"/>
        <w:ind w:right="0" w:rightChars="0" w:firstLine="643" w:firstLineChars="200"/>
        <w:textAlignment w:val="auto"/>
        <w:rPr>
          <w:rFonts w:hint="eastAsia" w:ascii="黑体" w:hAnsi="黑体" w:eastAsia="黑体" w:cs="黑体"/>
          <w:b/>
          <w:bCs w:val="0"/>
          <w:color w:val="auto"/>
          <w:sz w:val="32"/>
          <w:szCs w:val="32"/>
        </w:rPr>
      </w:pPr>
      <w:bookmarkStart w:id="88" w:name="_Toc13671"/>
      <w:r>
        <w:rPr>
          <w:rFonts w:hint="eastAsia" w:ascii="黑体" w:hAnsi="黑体" w:eastAsia="黑体" w:cs="黑体"/>
          <w:b/>
          <w:bCs w:val="0"/>
          <w:color w:val="auto"/>
          <w:sz w:val="32"/>
          <w:szCs w:val="32"/>
          <w:lang w:eastAsia="zh-CN"/>
        </w:rPr>
        <w:t>四、</w:t>
      </w:r>
      <w:r>
        <w:rPr>
          <w:rFonts w:hint="eastAsia" w:ascii="黑体" w:hAnsi="黑体" w:eastAsia="黑体" w:cs="黑体"/>
          <w:b/>
          <w:bCs w:val="0"/>
          <w:color w:val="auto"/>
          <w:sz w:val="32"/>
          <w:szCs w:val="32"/>
        </w:rPr>
        <w:t>政策保障</w:t>
      </w:r>
      <w:bookmarkEnd w:id="86"/>
      <w:bookmarkEnd w:id="87"/>
      <w:bookmarkEnd w:id="88"/>
    </w:p>
    <w:p>
      <w:pPr>
        <w:pStyle w:val="4"/>
        <w:pageBreakBefore w:val="0"/>
        <w:widowControl w:val="0"/>
        <w:numPr>
          <w:ilvl w:val="0"/>
          <w:numId w:val="0"/>
        </w:numPr>
        <w:tabs>
          <w:tab w:val="left" w:pos="0"/>
        </w:tabs>
        <w:kinsoku/>
        <w:wordWrap/>
        <w:overflowPunct/>
        <w:topLinePunct w:val="0"/>
        <w:autoSpaceDE/>
        <w:autoSpaceDN/>
        <w:bidi w:val="0"/>
        <w:snapToGrid/>
        <w:spacing w:line="560" w:lineRule="exact"/>
        <w:ind w:right="0" w:rightChars="0" w:firstLine="482" w:firstLineChars="150"/>
        <w:textAlignment w:val="auto"/>
        <w:rPr>
          <w:rFonts w:hint="eastAsia" w:ascii="楷体_GB2312" w:hAnsi="楷体_GB2312" w:eastAsia="楷体_GB2312" w:cs="楷体_GB2312"/>
          <w:b/>
          <w:bCs/>
          <w:color w:val="auto"/>
          <w:sz w:val="32"/>
          <w:szCs w:val="32"/>
          <w:lang w:eastAsia="zh-CN"/>
        </w:rPr>
      </w:pPr>
      <w:bookmarkStart w:id="89" w:name="_Toc18497"/>
      <w:bookmarkStart w:id="90" w:name="_Toc437380316"/>
      <w:bookmarkStart w:id="91" w:name="_Toc23554"/>
      <w:r>
        <w:rPr>
          <w:rFonts w:hint="eastAsia" w:ascii="楷体_GB2312" w:hAnsi="楷体_GB2312" w:eastAsia="楷体_GB2312" w:cs="楷体_GB2312"/>
          <w:b/>
          <w:bCs/>
          <w:color w:val="auto"/>
          <w:sz w:val="32"/>
          <w:szCs w:val="32"/>
          <w:lang w:eastAsia="zh-CN"/>
        </w:rPr>
        <w:t>（一）党建引领</w:t>
      </w:r>
      <w:bookmarkEnd w:id="89"/>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实施“五大行动计划”，为学校“双高”建设跨越发展提供坚强政治保证和组织保证。</w:t>
      </w:r>
    </w:p>
    <w:p>
      <w:pPr>
        <w:pStyle w:val="5"/>
        <w:bidi w:val="0"/>
        <w:rPr>
          <w:rFonts w:hint="eastAsia" w:ascii="仿宋_GB2312" w:hAnsi="仿宋_GB2312" w:eastAsia="仿宋_GB2312" w:cs="仿宋_GB2312"/>
          <w:lang w:val="en-US" w:eastAsia="zh-CN"/>
        </w:rPr>
      </w:pPr>
      <w:bookmarkStart w:id="92" w:name="_Toc4994"/>
      <w:r>
        <w:rPr>
          <w:rFonts w:hint="eastAsia" w:ascii="仿宋_GB2312" w:hAnsi="仿宋_GB2312" w:eastAsia="仿宋_GB2312" w:cs="仿宋_GB2312"/>
          <w:lang w:val="en-US" w:eastAsia="zh-CN"/>
        </w:rPr>
        <w:t>1.实施“党的领导力全面提升行动计划”，落实党委领导下的校长负责制，推进议事决策制度全覆盖无“盲区”</w:t>
      </w:r>
      <w:bookmarkEnd w:id="92"/>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加强党建工作顶层设计，充分发挥学校党委统揽全局的领导力，深入落实党委领导下的校长负责制。面向学院发展新形势新任务，开展了党支部达标创优、组织生活质量提升行动工作。健全坚持和加强党的全面领导的组织体系、制度体系、工作体系，完善党委会决策跟踪落实机制。充分发挥党组织在学校的领导核心和政治核心作用，进一步强化党委会和院长办公会的职能，开展了2次党建工作专题调研，分析问题，研究并深入落实改进措施，确保学校各项事业始终沿着正确的方向前进。</w:t>
      </w:r>
    </w:p>
    <w:p>
      <w:pPr>
        <w:pStyle w:val="5"/>
        <w:bidi w:val="0"/>
        <w:rPr>
          <w:rFonts w:hint="eastAsia" w:ascii="仿宋_GB2312" w:hAnsi="仿宋_GB2312" w:eastAsia="仿宋_GB2312" w:cs="仿宋_GB2312"/>
          <w:lang w:val="en-US" w:eastAsia="zh-CN"/>
        </w:rPr>
      </w:pPr>
      <w:bookmarkStart w:id="93" w:name="_Toc30207"/>
      <w:r>
        <w:rPr>
          <w:rFonts w:hint="eastAsia" w:ascii="仿宋_GB2312" w:hAnsi="仿宋_GB2312" w:eastAsia="仿宋_GB2312" w:cs="仿宋_GB2312"/>
          <w:lang w:val="en-US" w:eastAsia="zh-CN"/>
        </w:rPr>
        <w:t>2.实施“意识形态工作强化行动计划”，加强意识形态阵地管理，推进校园融媒体建设</w:t>
      </w:r>
      <w:bookmarkEnd w:id="93"/>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全面强化意识形态工作，牢牢把握学校意识形态工作领导权。全面落实意识形态工作责任制，出台《广西建院落实意识形态工作责任实施细则》，完善意识形态管理工作制度。全面推行学校意识形态工作考核评价体系。加强校园网络舆情监控机制建设，购买网络舆情监控服务，建成学校网络舆情监控平台，健全校园网络综合治理体系。加强阵地建设，针对教学科研载体、文化活动阵地、各类校园媒体，全面整合校园广播、LED屏、报刊、官网、微信、微博、宣传栏等媒体阵地，开展“学校融媒体中心”建设工作，打造“资源通融、内容兼融、宣传互融、利益共融”的校园新型媒体，健全强化意识形态阵地定期排查机制。进一步加强对学生会和学生社团的引导和管理。强化意识形态形势定期分析研判，做好重大时间节点的舆情引导监管工作。强化理想信念教育和社会主义核心价值观教育，引导学校广大师生牢固树立“四个意识”、坚定“四个自信”、坚决做到“两个维护”，确保正确的办学方向。</w:t>
      </w:r>
    </w:p>
    <w:p>
      <w:pPr>
        <w:pStyle w:val="5"/>
        <w:bidi w:val="0"/>
        <w:rPr>
          <w:rFonts w:hint="eastAsia" w:ascii="仿宋_GB2312" w:hAnsi="仿宋_GB2312" w:eastAsia="仿宋_GB2312" w:cs="仿宋_GB2312"/>
          <w:lang w:val="en-US" w:eastAsia="zh-CN"/>
        </w:rPr>
      </w:pPr>
      <w:bookmarkStart w:id="94" w:name="_Toc21177"/>
      <w:r>
        <w:rPr>
          <w:rFonts w:hint="eastAsia" w:ascii="仿宋_GB2312" w:hAnsi="仿宋_GB2312" w:eastAsia="仿宋_GB2312" w:cs="仿宋_GB2312"/>
          <w:lang w:val="en-US" w:eastAsia="zh-CN"/>
        </w:rPr>
        <w:t>3.实施“‘三进’行动计划”，建设高水平马克思主义学院，大力培育“鲁班精神”</w:t>
      </w:r>
      <w:bookmarkEnd w:id="94"/>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加强教材建设。出版了1本专著和1部校本教材，编印了学校公共选修课《习近平新时代中国特色社会主义思想概论》一系列立体化教材（包括教学指南、教学讲义、课件、微课、教案等）将习近平新时代中国特色社会主义思想最新理论成果，动态融入所有思政课程和专业课程。</w:t>
      </w:r>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加强课堂建设。融合创新，增强思政课的思想性、理论性以及亲和力、针对性，发挥思政课的主渠道作用。重点围绕《思想道德修养与法律基础》这门课建设慕课资源，已录制完成27个微视频。为做好我院《习近平新时代中国特色社会主义思想》示范课建设，积极整合马院教学资源，录制好课程视频14个。开设了《党史》《新中国史》《改革开放史》《社会主义发展史》《鲁班精神》等公共选修课。全面开展课程思政，健全落实全校专业课程思政要素的挖掘提炼工作机制，将习总书记的新思想有机融进专业课教学中。建设高水平马克思主义学院，创新思政教学方法，使习近平新时代中国特色社会主义思想教学活起来。</w:t>
      </w:r>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结合行业和社会发展，结合乡村振兴战略以及精准脱贫工作实际，开展丰富多彩的系列主题教育实践活动，如带领学生参加大学生暑期“三下乡”活动，培养学生的社会责任感；组织学生赴桂林湘江战役纪念馆、邓颖超纪念馆、李明瑞韦拔群烈士纪念碑、新会书院等地方开展实践主题教育活动，充分利用广西丰富的红色文化资源，深入挖掘其蕴含的教育价值；特色开设2期“青马学堂”；开展“校外思政课”协同育人实践活动；举办三个层次（学校、广西思政课结对共建五校、东中西部马院共建学校）大学生讲思政课比赛、大学生微电影展示等活动，引领青年学生进一步坚定跟党走中国特色社会主义道路的信念，使习近平新时代中国特色社会主义思想在大学生中落地生根，入脑入心，内化于心，外化于行。</w:t>
      </w:r>
    </w:p>
    <w:p>
      <w:pPr>
        <w:pStyle w:val="5"/>
        <w:bidi w:val="0"/>
        <w:rPr>
          <w:rFonts w:hint="eastAsia" w:ascii="仿宋_GB2312" w:hAnsi="仿宋_GB2312" w:eastAsia="仿宋_GB2312" w:cs="仿宋_GB2312"/>
          <w:lang w:val="en-US" w:eastAsia="zh-CN"/>
        </w:rPr>
      </w:pPr>
      <w:bookmarkStart w:id="95" w:name="_Toc32040"/>
      <w:r>
        <w:rPr>
          <w:rFonts w:hint="eastAsia" w:ascii="仿宋_GB2312" w:hAnsi="仿宋_GB2312" w:eastAsia="仿宋_GB2312" w:cs="仿宋_GB2312"/>
          <w:lang w:val="en-US" w:eastAsia="zh-CN"/>
        </w:rPr>
        <w:t>4.实施“‘三全育人’推进行动计划”，健全“三级联动机制”，建设“三全育人”试点院系</w:t>
      </w:r>
      <w:bookmarkEnd w:id="95"/>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深入推进学校承担的自治区“三全育人”综合改革试点工作项目（即《“匠心建筑•协同育人”：高职院校建筑类专业以“课程思政”为核心的三全育人模式创新与实践》《大学生心理健康教育混合式教学改革试点建设项目》《基于易班的建设类高校网络思想政治教育集群体系建设》）项目结题工作，以此为契机，大力提升学校“三全育人”工作水平。制订《学校推进“三全育人”综合改革工作实施方案”》,启动“三全育人”示范院系、精品项目建设。2020年4月份出台《广西建设职业技术学院全面推进“三全育人”综合改革工作实施方案》等文件，全面开展“三全育人”试点与综合改革。遴选一批学校层面的思想政治教育质量提升工程项目，立项学校“三全育人”示范系建设项目2个，学校思想政治工作精品项目5个。立项建设广西“三全育人”示范校，培育建设类高职院校“三全育人”特色工作品牌。开展第三届思想政治论文征集评选活动，收到思政论文102篇，评选一等奖5篇，二等奖10篇，三等奖15篇。</w:t>
      </w:r>
    </w:p>
    <w:p>
      <w:pPr>
        <w:pStyle w:val="5"/>
        <w:bidi w:val="0"/>
        <w:rPr>
          <w:rFonts w:hint="eastAsia" w:ascii="仿宋_GB2312" w:hAnsi="仿宋_GB2312" w:eastAsia="仿宋_GB2312" w:cs="仿宋_GB2312"/>
          <w:lang w:val="en-US" w:eastAsia="zh-CN"/>
        </w:rPr>
      </w:pPr>
      <w:bookmarkStart w:id="96" w:name="_Toc5240"/>
      <w:r>
        <w:rPr>
          <w:rFonts w:hint="eastAsia" w:ascii="仿宋_GB2312" w:hAnsi="仿宋_GB2312" w:eastAsia="仿宋_GB2312" w:cs="仿宋_GB2312"/>
          <w:lang w:val="en-US" w:eastAsia="zh-CN"/>
        </w:rPr>
        <w:t>5.实施“基层党建创新行动计划”，创建全国高校党建工作标杆院系和党建工作样板支部</w:t>
      </w:r>
      <w:bookmarkEnd w:id="96"/>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color w:val="auto"/>
          <w:sz w:val="32"/>
          <w:szCs w:val="32"/>
          <w:highlight w:val="none"/>
          <w:lang w:val="en-US" w:eastAsia="zh-CN"/>
        </w:rPr>
        <w:t>加强基层组织建设，深入实施党组织“对标争先”计划，我校土木工程系党总支获“全国高校党建工作标杆院系”，是广西唯一入选的院系；建筑设备与环境工程系学生党支部获“全国高校党建工作样板支部”。学校投入资金89.5元，加强标杆院系和样板支部的培育创建，以点带面发挥示范引领作用，有力推进各基层党组织全面进步全面过硬。今年申报了3个四星级党支部，4个三星级党支部，已评或申报的星级党支部占全校党支部比例达到65%。加强基层组织班子建设。今年以来，调整了3个直属党支部，成立了2个直属党支部，共补选党支部书记11人，支部委员30人。开展新一轮软弱涣散基层党组织排查整顿工作，并落实了校领导班子成员包点制度。全面实施教师党支部书记“双带头人”培育工程，全校7个系教师党支部书记全部实现“双带头人”配备，充分发挥“双带头人”在党建工作及业务工作中的重要作用。实施“党务工作者队伍建设工程”，建强专业党务工作队伍，推进基层党组织标准化规范化建设。选派基层党务工作者参加上级组织培训19人次；组织全校149名基层党务工作者参加了我校与国家教育行政学院合作举办的网络培训，有效提升党务工作者党建工作水平。落实了全校兼职党务工作者的党建工作绩效工资，按照每人每月200元标准发放，强化激励效应。实施“党员素质提升工程”，加强党员学习培训。加强党员队伍建设，2020年，共发展党员192人（含建科院7人），预备党员转正105人。2020年全年收缴党费共228498.04元（含建科院党委上交党费），组织关系转出165人，转入57人。实施“党建+思政”“党建+教学”“党建+科研”“党建+服务”“党建+就业创业”等“党建+”品牌建设，推进党的建设与学校事业发展同部署、同落实、同考评，聚合发挥党建对业务工作的推动力。以党建工作例会、基层党建月报以及党建工作调研为抓手，层层压实党建工作责任。健全党建带群团组织建设的工作机制，汇聚全校力量，在学校党委的集中统一领导下，齐心协力推进学校事业高质量发展。</w:t>
      </w:r>
    </w:p>
    <w:p>
      <w:pPr>
        <w:pStyle w:val="4"/>
        <w:keepNext/>
        <w:keepLines/>
        <w:pageBreakBefore w:val="0"/>
        <w:widowControl w:val="0"/>
        <w:kinsoku/>
        <w:wordWrap/>
        <w:overflowPunct/>
        <w:topLinePunct w:val="0"/>
        <w:autoSpaceDE/>
        <w:autoSpaceDN/>
        <w:bidi w:val="0"/>
        <w:adjustRightInd/>
        <w:snapToGrid/>
        <w:spacing w:line="0" w:lineRule="atLeast"/>
        <w:ind w:left="0" w:leftChars="0" w:firstLine="321" w:firstLineChars="100"/>
        <w:textAlignment w:val="auto"/>
        <w:rPr>
          <w:rFonts w:hint="eastAsia"/>
          <w:lang w:eastAsia="zh-CN"/>
        </w:rPr>
      </w:pPr>
      <w:bookmarkStart w:id="97" w:name="_Toc16735"/>
      <w:r>
        <w:rPr>
          <w:rFonts w:hint="eastAsia"/>
          <w:lang w:eastAsia="zh-CN"/>
        </w:rPr>
        <w:t>（二）</w:t>
      </w:r>
      <w:r>
        <w:rPr>
          <w:rFonts w:hint="eastAsia"/>
          <w:lang w:val="en-US" w:eastAsia="zh-CN"/>
        </w:rPr>
        <w:t>师资队伍建设</w:t>
      </w:r>
      <w:bookmarkEnd w:id="97"/>
    </w:p>
    <w:p>
      <w:pPr>
        <w:pStyle w:val="5"/>
        <w:keepNext/>
        <w:keepLines/>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lang w:val="en-US" w:eastAsia="zh-CN"/>
        </w:rPr>
      </w:pPr>
      <w:bookmarkStart w:id="98" w:name="_Toc32280"/>
      <w:bookmarkStart w:id="99" w:name="_Toc32399_WPSOffice_Level3"/>
      <w:r>
        <w:rPr>
          <w:rFonts w:hint="eastAsia" w:ascii="仿宋_GB2312" w:hAnsi="仿宋_GB2312" w:eastAsia="仿宋_GB2312" w:cs="仿宋_GB2312"/>
          <w:lang w:val="en-US" w:eastAsia="zh-CN"/>
        </w:rPr>
        <w:t>1.完善制度，推进教师队伍建设</w:t>
      </w:r>
      <w:bookmarkEnd w:id="98"/>
    </w:p>
    <w:p>
      <w:pPr>
        <w:pageBreakBefore w:val="0"/>
        <w:kinsoku/>
        <w:wordWrap/>
        <w:overflowPunct/>
        <w:topLinePunct w:val="0"/>
        <w:bidi w:val="0"/>
        <w:spacing w:line="560" w:lineRule="exact"/>
        <w:ind w:right="0" w:rightChars="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学校修订完善了《绩效工资分配实施方案》、《岗位设置实施方案》、《高校教师系列职称自主评审条件》、《博士引进与培养管理五年行动计划》、《校级教学名师评选实施办法（修订）》等一系列规章制度和激励机制，鼓励教师培训提高，承担教师参与各级培训的所需费用；对教师学历提高所需费用予以报销；将教师岗位、等级及收入与绩效奖励挂钩，对获得教学名师、获得正高职称、取得博士学位或获得“双师型”教师资格证书等教职工给予发放补助，从制度上为高水平双师队伍建设打下坚实基础。同时，近5年来学校平均每年投入约160万元用于师资队伍的建设培养培训管理。</w:t>
      </w:r>
    </w:p>
    <w:p>
      <w:pPr>
        <w:pStyle w:val="5"/>
        <w:bidi w:val="0"/>
        <w:rPr>
          <w:rFonts w:hint="eastAsia" w:ascii="仿宋_GB2312" w:hAnsi="仿宋_GB2312" w:eastAsia="仿宋_GB2312" w:cs="仿宋_GB2312"/>
        </w:rPr>
      </w:pPr>
      <w:bookmarkStart w:id="100" w:name="_Toc27091"/>
      <w:r>
        <w:rPr>
          <w:rFonts w:hint="eastAsia" w:ascii="仿宋_GB2312" w:hAnsi="仿宋_GB2312" w:eastAsia="仿宋_GB2312" w:cs="仿宋_GB2312"/>
          <w:lang w:val="en-US" w:eastAsia="zh-CN"/>
        </w:rPr>
        <w:t>2.</w:t>
      </w:r>
      <w:r>
        <w:rPr>
          <w:rFonts w:hint="eastAsia" w:ascii="仿宋_GB2312" w:hAnsi="仿宋_GB2312" w:eastAsia="仿宋_GB2312" w:cs="仿宋_GB2312"/>
        </w:rPr>
        <w:t>积极开展招聘工作</w:t>
      </w:r>
      <w:bookmarkEnd w:id="99"/>
      <w:bookmarkEnd w:id="100"/>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经我校申请，住建厅审核，报自治区机构编制委员会和人力资源和社会保障厅批准，2020年我校获批非实名控制数计划280名。目前，我校已完成第一批非实名控制数人员公开招聘，共招聘118人，其中，专任教师48人，教学辅助人员30人，管理人员40人。第二批非实名控制数人员公开招聘也已经启动。</w:t>
      </w:r>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认真落实《学院2020年度人才招聘计划》要求，多渠道全方位招揽人才，为学校可持续发展做好人才储备。本年度共组织3次人才招聘校级面试，按照公开、公平、公正、择优原则，聘用新教师93人（已经报到的），其中：硕士研究生43人（包含一名博士研究生：蒙云龙），正高级职称1人（莫滨），副高级职称8人，中级职称22人。</w:t>
      </w:r>
    </w:p>
    <w:p>
      <w:pPr>
        <w:pStyle w:val="5"/>
        <w:bidi w:val="0"/>
        <w:rPr>
          <w:rFonts w:hint="eastAsia" w:ascii="仿宋_GB2312" w:hAnsi="仿宋_GB2312" w:eastAsia="仿宋_GB2312" w:cs="仿宋_GB2312"/>
          <w:lang w:val="en-US" w:eastAsia="zh-CN"/>
        </w:rPr>
      </w:pPr>
      <w:bookmarkStart w:id="101" w:name="_Toc27257_WPSOffice_Level3"/>
      <w:bookmarkStart w:id="102" w:name="_Toc15450"/>
      <w:r>
        <w:rPr>
          <w:rFonts w:hint="eastAsia" w:ascii="仿宋_GB2312" w:hAnsi="仿宋_GB2312" w:eastAsia="仿宋_GB2312" w:cs="仿宋_GB2312"/>
          <w:lang w:val="en-US" w:eastAsia="zh-CN"/>
        </w:rPr>
        <w:t>3.大力推进“双师型”教师队伍建设</w:t>
      </w:r>
      <w:bookmarkEnd w:id="101"/>
      <w:bookmarkEnd w:id="102"/>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color w:val="auto"/>
          <w:sz w:val="32"/>
          <w:szCs w:val="32"/>
          <w:highlight w:val="none"/>
          <w:lang w:val="en-US" w:eastAsia="zh-CN"/>
        </w:rPr>
      </w:pPr>
      <w:bookmarkStart w:id="103" w:name="_Toc22298_WPSOffice_Level3"/>
      <w:r>
        <w:rPr>
          <w:rFonts w:hint="eastAsia" w:ascii="仿宋_GB2312" w:hAnsi="仿宋_GB2312" w:eastAsia="仿宋_GB2312" w:cs="仿宋_GB2312"/>
          <w:color w:val="auto"/>
          <w:sz w:val="32"/>
          <w:szCs w:val="32"/>
          <w:highlight w:val="none"/>
          <w:lang w:val="en-US" w:eastAsia="zh-CN"/>
        </w:rPr>
        <w:t>学校依托广西建工集团等合作企业以及广西建筑科学研究设计院等下属企业，建立人才共享机制，与企业共建“双师型”教师培养培训基地，建立学校和行业企业联合培养“双</w:t>
      </w:r>
      <w:r>
        <w:rPr>
          <w:rFonts w:hint="eastAsia" w:ascii="仿宋_GB2312" w:hAnsi="仿宋_GB2312" w:eastAsia="仿宋_GB2312" w:cs="仿宋_GB2312"/>
          <w:sz w:val="32"/>
          <w:szCs w:val="32"/>
          <w:lang w:val="en-US" w:eastAsia="zh-CN"/>
        </w:rPr>
        <w:t>师型”教师机制，促进校企人才专兼融合。近5年来选派赴企业实践累计3个月以上的专任教师达400人。目前我校共有212名教师通过自治区高等职业院校“双师型”教师的认定，获得高等职业院校“双师型”教师资格证书。其中，高级12人、中级82人、初级118人。</w:t>
      </w:r>
      <w:bookmarkEnd w:id="103"/>
    </w:p>
    <w:p>
      <w:pPr>
        <w:pStyle w:val="5"/>
        <w:bidi w:val="0"/>
        <w:rPr>
          <w:rFonts w:hint="eastAsia" w:ascii="仿宋_GB2312" w:hAnsi="仿宋_GB2312" w:eastAsia="仿宋_GB2312" w:cs="仿宋_GB2312"/>
          <w:lang w:val="en-US" w:eastAsia="zh-CN"/>
        </w:rPr>
      </w:pPr>
      <w:bookmarkStart w:id="104" w:name="_Toc20814"/>
      <w:bookmarkStart w:id="105" w:name="_Toc652_WPSOffice_Level3"/>
      <w:r>
        <w:rPr>
          <w:rFonts w:hint="eastAsia" w:ascii="仿宋_GB2312" w:hAnsi="仿宋_GB2312" w:eastAsia="仿宋_GB2312" w:cs="仿宋_GB2312"/>
          <w:lang w:val="en-US" w:eastAsia="zh-CN"/>
        </w:rPr>
        <w:t>4.继续加强教师业务培训</w:t>
      </w:r>
      <w:bookmarkEnd w:id="104"/>
      <w:bookmarkEnd w:id="105"/>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重教师参加各类业务培训，让教师走出去。近5年来通过访学进修、企业实践、师徒传授、自我提升等渠道，进一步提高专任教师自身教学能力、实践能力和科研能力，培养了一大批在行业有较高威望的教学名师、骨干教师。累计引进200名企业高层次高技能人才，累计完成专业带头人（负责人）、骨干教师、专业教师等“双师型”培养培训任务4000多人次。</w:t>
      </w:r>
    </w:p>
    <w:p>
      <w:pPr>
        <w:pStyle w:val="4"/>
        <w:bidi w:val="0"/>
        <w:ind w:left="0" w:leftChars="0" w:firstLine="321" w:firstLineChars="100"/>
        <w:rPr>
          <w:rFonts w:hint="eastAsia"/>
          <w:lang w:eastAsia="zh-CN"/>
        </w:rPr>
      </w:pPr>
      <w:bookmarkStart w:id="106" w:name="_Toc17353"/>
      <w:r>
        <w:rPr>
          <w:rFonts w:hint="eastAsia"/>
          <w:lang w:eastAsia="zh-CN"/>
        </w:rPr>
        <w:t>（三）加强治理体系和治理能力建设，全面提升学校治理水平</w:t>
      </w:r>
      <w:bookmarkEnd w:id="106"/>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2020年，我校进一步完善管理制度体系，优化内部治理结构，</w:t>
      </w:r>
      <w:r>
        <w:rPr>
          <w:rFonts w:hint="eastAsia" w:ascii="仿宋_GB2312" w:hAnsi="仿宋_GB2312" w:eastAsia="仿宋_GB2312" w:cs="仿宋_GB2312"/>
          <w:sz w:val="32"/>
          <w:szCs w:val="32"/>
          <w:lang w:eastAsia="zh-CN"/>
        </w:rPr>
        <w:t>深化内部风险防控</w:t>
      </w:r>
      <w:r>
        <w:rPr>
          <w:rFonts w:hint="eastAsia" w:ascii="仿宋_GB2312" w:hAnsi="仿宋_GB2312" w:eastAsia="仿宋_GB2312" w:cs="仿宋_GB2312"/>
          <w:sz w:val="32"/>
          <w:szCs w:val="32"/>
          <w:lang w:val="en-US" w:eastAsia="zh-CN"/>
        </w:rPr>
        <w:t>，不断推进学校治理体系和治理能力现代化，促进高等教育高质量内涵式发展。一是不断健全管理制度体系，强化制度执行力度。制定并严格执行了2020年规范性文件清理工作计划，不断优化学校管理制度体系。编印了《管理文件汇编（二）》，并下发全体教职员工；面向全校教职工开展了2020年规范性文件知识竞答活动，提升学校制度的执行力。二是大力推进绩效考核工作。印发了《广西建设职业技术学院绩效工资分配实施方案》</w:t>
      </w:r>
      <w:r>
        <w:rPr>
          <w:rFonts w:hint="eastAsia" w:ascii="仿宋_GB2312" w:hAnsi="仿宋_GB2312" w:eastAsia="仿宋_GB2312" w:cs="仿宋_GB2312"/>
          <w:sz w:val="32"/>
          <w:szCs w:val="32"/>
        </w:rPr>
        <w:t>《2020年绩效</w:t>
      </w:r>
      <w:r>
        <w:rPr>
          <w:rFonts w:hint="eastAsia" w:ascii="仿宋_GB2312" w:hAnsi="仿宋_GB2312" w:eastAsia="仿宋_GB2312" w:cs="仿宋_GB2312"/>
          <w:sz w:val="32"/>
          <w:szCs w:val="32"/>
          <w:lang w:eastAsia="zh-CN"/>
        </w:rPr>
        <w:t>考评</w:t>
      </w:r>
      <w:r>
        <w:rPr>
          <w:rFonts w:hint="eastAsia" w:ascii="仿宋_GB2312" w:hAnsi="仿宋_GB2312" w:eastAsia="仿宋_GB2312" w:cs="仿宋_GB2312"/>
          <w:sz w:val="32"/>
          <w:szCs w:val="32"/>
        </w:rPr>
        <w:t>工作实施方案》</w:t>
      </w:r>
      <w:r>
        <w:rPr>
          <w:rFonts w:hint="eastAsia" w:ascii="仿宋_GB2312" w:hAnsi="仿宋_GB2312" w:eastAsia="仿宋_GB2312" w:cs="仿宋_GB2312"/>
          <w:sz w:val="32"/>
          <w:szCs w:val="32"/>
          <w:lang w:eastAsia="zh-CN"/>
        </w:rPr>
        <w:t>，完成了</w:t>
      </w:r>
      <w:r>
        <w:rPr>
          <w:rFonts w:hint="eastAsia" w:ascii="仿宋_GB2312" w:hAnsi="仿宋_GB2312" w:eastAsia="仿宋_GB2312" w:cs="仿宋_GB2312"/>
          <w:sz w:val="32"/>
          <w:szCs w:val="32"/>
          <w:lang w:val="en-US" w:eastAsia="zh-CN"/>
        </w:rPr>
        <w:t>绩效</w:t>
      </w:r>
      <w:r>
        <w:rPr>
          <w:rFonts w:hint="eastAsia" w:ascii="仿宋_GB2312" w:hAnsi="仿宋_GB2312" w:eastAsia="仿宋_GB2312" w:cs="仿宋_GB2312"/>
          <w:sz w:val="32"/>
          <w:szCs w:val="32"/>
          <w:lang w:eastAsia="zh-CN"/>
        </w:rPr>
        <w:t>考评管理信息系统建设，不断完善绩效考核机制，有效提升内部管理水平。三是健全科学决策机制，充分发挥“教授治学”作用。</w:t>
      </w:r>
      <w:r>
        <w:rPr>
          <w:rFonts w:hint="eastAsia" w:ascii="仿宋_GB2312" w:hAnsi="仿宋_GB2312" w:eastAsia="仿宋_GB2312" w:cs="仿宋_GB2312"/>
          <w:sz w:val="32"/>
          <w:szCs w:val="32"/>
          <w:lang w:val="en-US" w:eastAsia="zh-CN"/>
        </w:rPr>
        <w:t>2020年，印发了《关于进一步规范党委会和院长办公会议题提交程序等工作的管理办法》，进一步规范工作程序，提高议事效率和决策的科学性。</w:t>
      </w:r>
      <w:r>
        <w:rPr>
          <w:rFonts w:hint="eastAsia" w:ascii="仿宋_GB2312" w:hAnsi="仿宋_GB2312" w:eastAsia="仿宋_GB2312" w:cs="仿宋_GB2312"/>
          <w:sz w:val="32"/>
          <w:szCs w:val="32"/>
          <w:lang w:eastAsia="zh-CN"/>
        </w:rPr>
        <w:t>做好对党委会和院长办公会决策落实情况的督办检查，加强了对系（院、部）议事决策工作的指导，不断提升决策水平。出台了学校《学术委员会章程》，规范学术委员会决策范围及程序；先后召开学术委员会工作会议3次，积极发挥学术委员会作用。四是不断完善民主治理机制。出台了《</w:t>
      </w:r>
      <w:r>
        <w:rPr>
          <w:rFonts w:hint="eastAsia" w:ascii="仿宋_GB2312" w:hAnsi="仿宋_GB2312" w:eastAsia="仿宋_GB2312" w:cs="仿宋_GB2312"/>
          <w:sz w:val="32"/>
          <w:szCs w:val="32"/>
        </w:rPr>
        <w:t>学生代表大会制度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《学生意见箱管理办法（试行）》</w:t>
      </w:r>
      <w:r>
        <w:rPr>
          <w:rFonts w:hint="eastAsia" w:ascii="仿宋_GB2312" w:hAnsi="仿宋_GB2312" w:eastAsia="仿宋_GB2312" w:cs="仿宋_GB2312"/>
          <w:sz w:val="32"/>
          <w:szCs w:val="32"/>
          <w:lang w:eastAsia="zh-CN"/>
        </w:rPr>
        <w:t>《学生</w:t>
      </w:r>
      <w:r>
        <w:rPr>
          <w:rFonts w:hint="eastAsia" w:ascii="仿宋_GB2312" w:hAnsi="仿宋_GB2312" w:eastAsia="仿宋_GB2312" w:cs="仿宋_GB2312"/>
          <w:sz w:val="32"/>
          <w:szCs w:val="32"/>
        </w:rPr>
        <w:t>民主座谈会制度</w:t>
      </w:r>
      <w:r>
        <w:rPr>
          <w:rFonts w:hint="eastAsia" w:ascii="仿宋_GB2312" w:hAnsi="仿宋_GB2312" w:eastAsia="仿宋_GB2312" w:cs="仿宋_GB2312"/>
          <w:sz w:val="32"/>
          <w:szCs w:val="32"/>
          <w:lang w:eastAsia="zh-CN"/>
        </w:rPr>
        <w:t>》，定期召开教职工代表大会、学生代表大会、学校领导接待日活动、工会主席接待日活动、学生民主座谈会，及时收集反馈师生意见建议，民主管理渠道不断拓宽。五是深化内部风险防控体系建设。完善纪检监督和内部审计监督机制，聚焦</w:t>
      </w:r>
      <w:r>
        <w:rPr>
          <w:rFonts w:hint="eastAsia" w:ascii="仿宋_GB2312" w:hAnsi="仿宋_GB2312" w:eastAsia="仿宋_GB2312" w:cs="仿宋_GB2312"/>
          <w:sz w:val="32"/>
          <w:szCs w:val="32"/>
        </w:rPr>
        <w:t>重要领域、重要任务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关键环节、关键节点</w:t>
      </w:r>
      <w:r>
        <w:rPr>
          <w:rFonts w:hint="eastAsia" w:ascii="仿宋_GB2312" w:hAnsi="仿宋_GB2312" w:eastAsia="仿宋_GB2312" w:cs="仿宋_GB2312"/>
          <w:sz w:val="32"/>
          <w:szCs w:val="32"/>
          <w:lang w:eastAsia="zh-CN"/>
        </w:rPr>
        <w:t>的监督</w:t>
      </w:r>
      <w:r>
        <w:rPr>
          <w:rFonts w:hint="eastAsia" w:ascii="仿宋_GB2312" w:hAnsi="仿宋_GB2312" w:eastAsia="仿宋_GB2312" w:cs="仿宋_GB2312"/>
          <w:sz w:val="32"/>
          <w:szCs w:val="32"/>
        </w:rPr>
        <w:t>检查</w:t>
      </w:r>
      <w:r>
        <w:rPr>
          <w:rFonts w:hint="eastAsia" w:ascii="仿宋_GB2312" w:hAnsi="仿宋_GB2312" w:eastAsia="仿宋_GB2312" w:cs="仿宋_GB2312"/>
          <w:sz w:val="32"/>
          <w:szCs w:val="32"/>
          <w:lang w:eastAsia="zh-CN"/>
        </w:rPr>
        <w:t>审计，保证学校管理与决策执行的规范、廉洁、高效。出台了《采购管理实施细则（2020年）》《经费支出管理办法（修订）》《合同管理办法》《法律顾问制度》《法定代表人授权委托管理办法》等制度，加强内部控制制度体系建设，进一步强化了对学校业务层面的内部流程控制，有效规范内部权力运行。</w:t>
      </w:r>
    </w:p>
    <w:p>
      <w:pPr>
        <w:pStyle w:val="4"/>
        <w:keepNext/>
        <w:keepLines/>
        <w:pageBreakBefore w:val="0"/>
        <w:widowControl w:val="0"/>
        <w:kinsoku/>
        <w:wordWrap/>
        <w:overflowPunct/>
        <w:topLinePunct w:val="0"/>
        <w:autoSpaceDE/>
        <w:autoSpaceDN/>
        <w:bidi w:val="0"/>
        <w:adjustRightInd/>
        <w:snapToGrid/>
        <w:spacing w:line="0" w:lineRule="atLeast"/>
        <w:textAlignment w:val="auto"/>
        <w:rPr>
          <w:rFonts w:hint="eastAsia"/>
          <w:lang w:eastAsia="zh-CN"/>
        </w:rPr>
      </w:pPr>
      <w:bookmarkStart w:id="107" w:name="_Toc5001"/>
      <w:r>
        <w:rPr>
          <w:rFonts w:hint="eastAsia"/>
          <w:lang w:eastAsia="zh-CN"/>
        </w:rPr>
        <w:t>（四）</w:t>
      </w:r>
      <w:r>
        <w:rPr>
          <w:rFonts w:hint="eastAsia"/>
          <w:lang w:val="en-US" w:eastAsia="zh-CN"/>
        </w:rPr>
        <w:t>校园文化</w:t>
      </w:r>
      <w:bookmarkEnd w:id="107"/>
    </w:p>
    <w:p>
      <w:pPr>
        <w:pStyle w:val="5"/>
        <w:keepNext/>
        <w:keepLines/>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rPr>
      </w:pPr>
      <w:bookmarkStart w:id="108" w:name="_Toc15654"/>
      <w:r>
        <w:rPr>
          <w:rFonts w:hint="eastAsia" w:ascii="仿宋_GB2312" w:hAnsi="仿宋_GB2312" w:eastAsia="仿宋_GB2312" w:cs="仿宋_GB2312"/>
          <w:lang w:val="en-US" w:eastAsia="zh-CN"/>
        </w:rPr>
        <w:t>1</w:t>
      </w:r>
      <w:r>
        <w:rPr>
          <w:rFonts w:hint="eastAsia" w:ascii="仿宋_GB2312" w:hAnsi="仿宋_GB2312" w:eastAsia="仿宋_GB2312" w:cs="仿宋_GB2312"/>
        </w:rPr>
        <w:t>.</w:t>
      </w:r>
      <w:r>
        <w:rPr>
          <w:rFonts w:hint="eastAsia" w:ascii="仿宋_GB2312" w:hAnsi="仿宋_GB2312" w:eastAsia="仿宋_GB2312" w:cs="仿宋_GB2312"/>
          <w:lang w:eastAsia="zh-CN"/>
        </w:rPr>
        <w:t>建立我校</w:t>
      </w:r>
      <w:r>
        <w:rPr>
          <w:rFonts w:hint="eastAsia" w:ascii="仿宋_GB2312" w:hAnsi="仿宋_GB2312" w:eastAsia="仿宋_GB2312" w:cs="仿宋_GB2312"/>
        </w:rPr>
        <w:t>落实意识形态工作责任制实施细则，加强意识形态阵地管理</w:t>
      </w:r>
      <w:bookmarkEnd w:id="108"/>
    </w:p>
    <w:p>
      <w:pPr>
        <w:pageBreakBefore w:val="0"/>
        <w:kinsoku/>
        <w:wordWrap/>
        <w:overflowPunct/>
        <w:topLinePunct w:val="0"/>
        <w:bidi w:val="0"/>
        <w:spacing w:line="560" w:lineRule="exact"/>
        <w:ind w:right="0" w:rightChars="0" w:firstLine="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全面强化意识形态工作，牢牢把握</w:t>
      </w:r>
      <w:r>
        <w:rPr>
          <w:rFonts w:hint="eastAsia" w:ascii="仿宋_GB2312" w:hAnsi="仿宋_GB2312" w:eastAsia="仿宋_GB2312" w:cs="仿宋_GB2312"/>
          <w:sz w:val="32"/>
          <w:szCs w:val="32"/>
          <w:lang w:eastAsia="zh-CN"/>
        </w:rPr>
        <w:t>学校</w:t>
      </w:r>
      <w:r>
        <w:rPr>
          <w:rFonts w:hint="eastAsia" w:ascii="仿宋_GB2312" w:hAnsi="仿宋_GB2312" w:eastAsia="仿宋_GB2312" w:cs="仿宋_GB2312"/>
          <w:sz w:val="32"/>
          <w:szCs w:val="32"/>
        </w:rPr>
        <w:t>意识形态工作领导权。</w:t>
      </w:r>
      <w:r>
        <w:rPr>
          <w:rFonts w:hint="eastAsia" w:ascii="仿宋_GB2312" w:hAnsi="仿宋_GB2312" w:eastAsia="仿宋_GB2312" w:cs="仿宋_GB2312"/>
          <w:sz w:val="32"/>
          <w:szCs w:val="32"/>
          <w:lang w:eastAsia="zh-CN"/>
        </w:rPr>
        <w:t>出台《</w:t>
      </w:r>
      <w:r>
        <w:rPr>
          <w:rFonts w:hint="eastAsia" w:ascii="仿宋_GB2312" w:hAnsi="仿宋_GB2312" w:eastAsia="仿宋_GB2312" w:cs="仿宋_GB2312"/>
          <w:sz w:val="32"/>
          <w:szCs w:val="32"/>
        </w:rPr>
        <w:t>广西建设职业技术学院落实意识形态工作责任制实施细则（试行）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全面落实意识形态</w:t>
      </w:r>
      <w:r>
        <w:rPr>
          <w:rFonts w:hint="eastAsia" w:ascii="仿宋_GB2312" w:hAnsi="仿宋_GB2312" w:eastAsia="仿宋_GB2312" w:cs="仿宋_GB2312"/>
          <w:sz w:val="32"/>
          <w:szCs w:val="32"/>
          <w:lang w:eastAsia="zh-CN"/>
        </w:rPr>
        <w:t>责任制，将意识形态工作纳入年终党建调研同部署同检查</w:t>
      </w:r>
      <w:r>
        <w:rPr>
          <w:rFonts w:hint="eastAsia" w:ascii="仿宋_GB2312" w:hAnsi="仿宋_GB2312" w:eastAsia="仿宋_GB2312" w:cs="仿宋_GB2312"/>
          <w:sz w:val="32"/>
          <w:szCs w:val="32"/>
        </w:rPr>
        <w:t>。加强校园网络舆情监控机制建设，健全强化意识形态阵地定期排查机制进一步加强对学生会和学生社团的引导和管理。强化意识形态形势定期分析研判，做好重大时间节点的舆情引导监管工作。全面整合校园广播、LED屏、报刊、官网、微信、微博、宣传栏等媒体阵地，打造</w:t>
      </w:r>
      <w:r>
        <w:rPr>
          <w:rFonts w:hint="eastAsia" w:ascii="仿宋_GB2312" w:hAnsi="仿宋_GB2312" w:eastAsia="仿宋_GB2312" w:cs="仿宋_GB2312"/>
          <w:sz w:val="32"/>
          <w:szCs w:val="32"/>
          <w:lang w:eastAsia="zh-CN"/>
        </w:rPr>
        <w:t>我校“融媒体中心”</w:t>
      </w:r>
      <w:r>
        <w:rPr>
          <w:rFonts w:hint="eastAsia" w:ascii="仿宋_GB2312" w:hAnsi="仿宋_GB2312" w:eastAsia="仿宋_GB2312" w:cs="仿宋_GB2312"/>
          <w:sz w:val="32"/>
          <w:szCs w:val="32"/>
        </w:rPr>
        <w:t>。强化理想信念教育和社会主义核心价值观教育，引导</w:t>
      </w:r>
      <w:r>
        <w:rPr>
          <w:rFonts w:hint="eastAsia" w:ascii="仿宋_GB2312" w:hAnsi="仿宋_GB2312" w:eastAsia="仿宋_GB2312" w:cs="仿宋_GB2312"/>
          <w:sz w:val="32"/>
          <w:szCs w:val="32"/>
          <w:lang w:eastAsia="zh-CN"/>
        </w:rPr>
        <w:t>学校</w:t>
      </w:r>
      <w:r>
        <w:rPr>
          <w:rFonts w:hint="eastAsia" w:ascii="仿宋_GB2312" w:hAnsi="仿宋_GB2312" w:eastAsia="仿宋_GB2312" w:cs="仿宋_GB2312"/>
          <w:sz w:val="32"/>
          <w:szCs w:val="32"/>
        </w:rPr>
        <w:t>广大师生牢固树立“四个意识”、坚定“四个自信”、坚决做到“两个维护”，确保正确的办学方向。</w:t>
      </w:r>
    </w:p>
    <w:p>
      <w:pPr>
        <w:pStyle w:val="5"/>
        <w:bidi w:val="0"/>
        <w:rPr>
          <w:rFonts w:hint="eastAsia" w:ascii="仿宋_GB2312" w:hAnsi="仿宋_GB2312" w:eastAsia="仿宋_GB2312" w:cs="仿宋_GB2312"/>
          <w:lang w:eastAsia="zh-CN"/>
        </w:rPr>
      </w:pPr>
      <w:bookmarkStart w:id="109" w:name="_Toc2661"/>
      <w:r>
        <w:rPr>
          <w:rFonts w:hint="eastAsia" w:ascii="仿宋_GB2312" w:hAnsi="仿宋_GB2312" w:eastAsia="仿宋_GB2312" w:cs="仿宋_GB2312"/>
          <w:lang w:val="en-US" w:eastAsia="zh-CN"/>
        </w:rPr>
        <w:t>2</w:t>
      </w:r>
      <w:r>
        <w:rPr>
          <w:rFonts w:hint="eastAsia" w:ascii="仿宋_GB2312" w:hAnsi="仿宋_GB2312" w:eastAsia="仿宋_GB2312" w:cs="仿宋_GB2312"/>
        </w:rPr>
        <w:t>.全面推进“三全育人”综合改革工作实施方案，</w:t>
      </w:r>
      <w:r>
        <w:rPr>
          <w:rFonts w:hint="eastAsia" w:ascii="仿宋_GB2312" w:hAnsi="仿宋_GB2312" w:eastAsia="仿宋_GB2312" w:cs="仿宋_GB2312"/>
          <w:lang w:eastAsia="zh-CN"/>
        </w:rPr>
        <w:t>加强</w:t>
      </w:r>
      <w:r>
        <w:rPr>
          <w:rFonts w:hint="eastAsia" w:ascii="仿宋_GB2312" w:hAnsi="仿宋_GB2312" w:eastAsia="仿宋_GB2312" w:cs="仿宋_GB2312"/>
        </w:rPr>
        <w:t>“三全育人”试点</w:t>
      </w:r>
      <w:r>
        <w:rPr>
          <w:rFonts w:hint="eastAsia" w:ascii="仿宋_GB2312" w:hAnsi="仿宋_GB2312" w:eastAsia="仿宋_GB2312" w:cs="仿宋_GB2312"/>
          <w:lang w:eastAsia="zh-CN"/>
        </w:rPr>
        <w:t>项目建设</w:t>
      </w:r>
      <w:bookmarkEnd w:id="109"/>
    </w:p>
    <w:p>
      <w:pPr>
        <w:pageBreakBefore w:val="0"/>
        <w:kinsoku/>
        <w:wordWrap/>
        <w:overflowPunct/>
        <w:topLinePunct w:val="0"/>
        <w:bidi w:val="0"/>
        <w:spacing w:line="560" w:lineRule="exact"/>
        <w:ind w:right="0" w:rightChars="0" w:firstLine="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全面推进</w:t>
      </w:r>
      <w:r>
        <w:rPr>
          <w:rFonts w:hint="eastAsia" w:ascii="仿宋_GB2312" w:hAnsi="仿宋_GB2312" w:eastAsia="仿宋_GB2312" w:cs="仿宋_GB2312"/>
          <w:sz w:val="32"/>
          <w:szCs w:val="32"/>
          <w:lang w:eastAsia="zh-CN"/>
        </w:rPr>
        <w:t>我校</w:t>
      </w:r>
      <w:r>
        <w:rPr>
          <w:rFonts w:hint="eastAsia" w:ascii="仿宋_GB2312" w:hAnsi="仿宋_GB2312" w:eastAsia="仿宋_GB2312" w:cs="仿宋_GB2312"/>
          <w:sz w:val="32"/>
          <w:szCs w:val="32"/>
        </w:rPr>
        <w:t>“三全育人”综合改革工作</w:t>
      </w:r>
      <w:r>
        <w:rPr>
          <w:rFonts w:hint="eastAsia" w:ascii="仿宋_GB2312" w:hAnsi="仿宋_GB2312" w:eastAsia="仿宋_GB2312" w:cs="仿宋_GB2312"/>
          <w:sz w:val="32"/>
          <w:szCs w:val="32"/>
          <w:lang w:eastAsia="zh-CN"/>
        </w:rPr>
        <w:t>，出台《全面推进“三全育人”综合改革工作实施方案》。继续</w:t>
      </w:r>
      <w:r>
        <w:rPr>
          <w:rFonts w:hint="eastAsia" w:ascii="仿宋_GB2312" w:hAnsi="仿宋_GB2312" w:eastAsia="仿宋_GB2312" w:cs="仿宋_GB2312"/>
          <w:sz w:val="32"/>
          <w:szCs w:val="32"/>
        </w:rPr>
        <w:t>推进</w:t>
      </w:r>
      <w:r>
        <w:rPr>
          <w:rFonts w:hint="eastAsia" w:ascii="仿宋_GB2312" w:hAnsi="仿宋_GB2312" w:eastAsia="仿宋_GB2312" w:cs="仿宋_GB2312"/>
          <w:sz w:val="32"/>
          <w:szCs w:val="32"/>
          <w:lang w:eastAsia="zh-CN"/>
        </w:rPr>
        <w:t>学校</w:t>
      </w:r>
      <w:r>
        <w:rPr>
          <w:rFonts w:hint="eastAsia" w:ascii="仿宋_GB2312" w:hAnsi="仿宋_GB2312" w:eastAsia="仿宋_GB2312" w:cs="仿宋_GB2312"/>
          <w:sz w:val="32"/>
          <w:szCs w:val="32"/>
        </w:rPr>
        <w:t>承担的自治区“三全育人”综合改革试点工作项目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遴选一批学校层面的思想政治教育质量提升工程项目，校内立项学校“三全育人”示范系建设项目2个，学校思想政治工作精品项目5个</w:t>
      </w:r>
      <w:r>
        <w:rPr>
          <w:rFonts w:hint="eastAsia" w:ascii="仿宋_GB2312" w:hAnsi="仿宋_GB2312" w:eastAsia="仿宋_GB2312" w:cs="仿宋_GB2312"/>
          <w:sz w:val="32"/>
          <w:szCs w:val="32"/>
          <w:lang w:eastAsia="zh-CN"/>
        </w:rPr>
        <w:t>，年终开展“三全育人”建设项目检查交流会</w:t>
      </w:r>
      <w:r>
        <w:rPr>
          <w:rFonts w:hint="eastAsia" w:ascii="仿宋_GB2312" w:hAnsi="仿宋_GB2312" w:eastAsia="仿宋_GB2312" w:cs="仿宋_GB2312"/>
          <w:sz w:val="32"/>
          <w:szCs w:val="32"/>
        </w:rPr>
        <w:t>，开展我校第三届思想政治论文征集评选活动，评选一批反映我校“三全育人”工作开展情况的论文。对我校“三全育人”试点改革工作进行总结，撰写《广西建设职业技术学院“三全育人”探索与实践》书稿。</w:t>
      </w:r>
    </w:p>
    <w:p>
      <w:pPr>
        <w:pStyle w:val="5"/>
        <w:bidi w:val="0"/>
        <w:rPr>
          <w:rFonts w:hint="eastAsia" w:ascii="仿宋_GB2312" w:hAnsi="仿宋_GB2312" w:eastAsia="仿宋_GB2312" w:cs="仿宋_GB2312"/>
          <w:lang w:eastAsia="zh-CN"/>
        </w:rPr>
      </w:pPr>
      <w:bookmarkStart w:id="110" w:name="_Toc18002"/>
      <w:r>
        <w:rPr>
          <w:rFonts w:hint="eastAsia" w:ascii="仿宋_GB2312" w:hAnsi="仿宋_GB2312" w:eastAsia="仿宋_GB2312" w:cs="仿宋_GB2312"/>
          <w:lang w:val="en-US" w:eastAsia="zh-CN"/>
        </w:rPr>
        <w:t>3</w:t>
      </w:r>
      <w:r>
        <w:rPr>
          <w:rFonts w:hint="eastAsia" w:ascii="仿宋_GB2312" w:hAnsi="仿宋_GB2312" w:eastAsia="仿宋_GB2312" w:cs="仿宋_GB2312"/>
        </w:rPr>
        <w:t>.开展校园文化品牌创建活动</w:t>
      </w:r>
      <w:r>
        <w:rPr>
          <w:rFonts w:hint="eastAsia" w:ascii="仿宋_GB2312" w:hAnsi="仿宋_GB2312" w:eastAsia="仿宋_GB2312" w:cs="仿宋_GB2312"/>
          <w:lang w:eastAsia="zh-CN"/>
        </w:rPr>
        <w:t>，加强二级院系</w:t>
      </w:r>
      <w:r>
        <w:rPr>
          <w:rFonts w:hint="eastAsia" w:ascii="仿宋_GB2312" w:hAnsi="仿宋_GB2312" w:eastAsia="仿宋_GB2312" w:cs="仿宋_GB2312"/>
        </w:rPr>
        <w:t>校园文化“一系一品”</w:t>
      </w:r>
      <w:r>
        <w:rPr>
          <w:rFonts w:hint="eastAsia" w:ascii="仿宋_GB2312" w:hAnsi="仿宋_GB2312" w:eastAsia="仿宋_GB2312" w:cs="仿宋_GB2312"/>
          <w:lang w:eastAsia="zh-CN"/>
        </w:rPr>
        <w:t>建设</w:t>
      </w:r>
      <w:bookmarkEnd w:id="110"/>
    </w:p>
    <w:p>
      <w:pPr>
        <w:pageBreakBefore w:val="0"/>
        <w:kinsoku/>
        <w:wordWrap/>
        <w:overflowPunct/>
        <w:topLinePunct w:val="0"/>
        <w:bidi w:val="0"/>
        <w:spacing w:line="560" w:lineRule="exact"/>
        <w:ind w:right="0" w:rightChars="0" w:firstLine="6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rPr>
        <w:t>学校广泛开展校园文化品牌建设活动，提升《鲁班讲坛》“科技文化艺术节”“中华经典诵读”“花样广播操大赛”等传统校园文化品牌项目的层次和水平；持续开展大学生志愿者暑期“三下乡”社会实践活动，丰富活动内涵，争创全国高校“三下乡”优秀项目；大力支持学生社团的发展，加强对专业型社团的支持和建设，加大了对大学生艺术团、lion啦啦操队等文艺团体的支持力度，打造校园文化建设新名片。学校高度重视二级院系开展校园文化“一系一品”建设，如土木工程系的“土木学子规”、建筑与规划系的“建筑文化节”、建筑设备与环境工程系的“三下乡社会实践活动”等等，已初步成为学校校园文化活动的新品牌。积极开展文明校园创建工作，明确分工，落实责任，对标对表《高校文明校园测评体系》开展创建，通过创建活动规范师生行为、营造文明校园氛围，推进校园文化育人。</w:t>
      </w:r>
    </w:p>
    <w:p>
      <w:pPr>
        <w:pStyle w:val="4"/>
        <w:keepNext/>
        <w:keepLines/>
        <w:pageBreakBefore w:val="0"/>
        <w:widowControl w:val="0"/>
        <w:kinsoku/>
        <w:wordWrap/>
        <w:overflowPunct/>
        <w:topLinePunct w:val="0"/>
        <w:autoSpaceDE/>
        <w:autoSpaceDN/>
        <w:bidi w:val="0"/>
        <w:adjustRightInd/>
        <w:snapToGrid/>
        <w:spacing w:line="0" w:lineRule="atLeast"/>
        <w:textAlignment w:val="auto"/>
        <w:rPr>
          <w:rFonts w:hint="eastAsia"/>
          <w:lang w:eastAsia="zh-CN"/>
        </w:rPr>
      </w:pPr>
      <w:bookmarkStart w:id="111" w:name="_Toc25023"/>
      <w:r>
        <w:rPr>
          <w:rFonts w:hint="eastAsia"/>
          <w:lang w:eastAsia="zh-CN"/>
        </w:rPr>
        <w:t>（五）质量保障</w:t>
      </w:r>
      <w:bookmarkEnd w:id="90"/>
      <w:bookmarkEnd w:id="91"/>
      <w:bookmarkEnd w:id="111"/>
    </w:p>
    <w:p>
      <w:pPr>
        <w:pStyle w:val="5"/>
        <w:keepNext/>
        <w:keepLines/>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lang w:eastAsia="zh-CN"/>
        </w:rPr>
      </w:pPr>
      <w:bookmarkStart w:id="112" w:name="_Toc28881_WPSOffice_Level3"/>
      <w:bookmarkStart w:id="113" w:name="_Toc13129"/>
      <w:bookmarkStart w:id="114" w:name="_Toc437380318"/>
      <w:r>
        <w:rPr>
          <w:rFonts w:hint="eastAsia" w:ascii="仿宋_GB2312" w:hAnsi="仿宋_GB2312" w:eastAsia="仿宋_GB2312" w:cs="仿宋_GB2312"/>
          <w:lang w:val="en-US" w:eastAsia="zh-CN"/>
        </w:rPr>
        <w:t>1.</w:t>
      </w:r>
      <w:bookmarkEnd w:id="112"/>
      <w:bookmarkStart w:id="115" w:name="_Toc2567_WPSOffice_Level3"/>
      <w:r>
        <w:rPr>
          <w:rFonts w:hint="eastAsia" w:ascii="仿宋_GB2312" w:hAnsi="仿宋_GB2312" w:eastAsia="仿宋_GB2312" w:cs="仿宋_GB2312"/>
        </w:rPr>
        <w:t>优化</w:t>
      </w:r>
      <w:r>
        <w:rPr>
          <w:rFonts w:hint="eastAsia" w:ascii="仿宋_GB2312" w:hAnsi="仿宋_GB2312" w:eastAsia="仿宋_GB2312" w:cs="仿宋_GB2312"/>
          <w:lang w:eastAsia="zh-CN"/>
        </w:rPr>
        <w:t>内部质量保证体系</w:t>
      </w:r>
      <w:r>
        <w:rPr>
          <w:rFonts w:hint="eastAsia" w:ascii="仿宋_GB2312" w:hAnsi="仿宋_GB2312" w:eastAsia="仿宋_GB2312" w:cs="仿宋_GB2312"/>
        </w:rPr>
        <w:t>，提升</w:t>
      </w:r>
      <w:r>
        <w:rPr>
          <w:rFonts w:hint="eastAsia" w:ascii="仿宋_GB2312" w:hAnsi="仿宋_GB2312" w:eastAsia="仿宋_GB2312" w:cs="仿宋_GB2312"/>
          <w:lang w:eastAsia="zh-CN"/>
        </w:rPr>
        <w:t>治理能力与治理水平</w:t>
      </w:r>
      <w:bookmarkEnd w:id="113"/>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eastAsia="zh-CN"/>
        </w:rPr>
        <w:t>学校已经</w:t>
      </w:r>
      <w:r>
        <w:rPr>
          <w:rFonts w:hint="eastAsia" w:ascii="仿宋_GB2312" w:hAnsi="仿宋_GB2312" w:eastAsia="仿宋_GB2312" w:cs="仿宋_GB2312"/>
          <w:b w:val="0"/>
          <w:bCs w:val="0"/>
          <w:sz w:val="32"/>
          <w:szCs w:val="32"/>
        </w:rPr>
        <w:t>建立质量保证、</w:t>
      </w:r>
      <w:r>
        <w:rPr>
          <w:rFonts w:hint="eastAsia" w:ascii="仿宋_GB2312" w:hAnsi="仿宋_GB2312" w:eastAsia="仿宋_GB2312" w:cs="仿宋_GB2312"/>
          <w:b w:val="0"/>
          <w:bCs w:val="0"/>
          <w:sz w:val="32"/>
          <w:szCs w:val="32"/>
          <w:lang w:eastAsia="zh-CN"/>
        </w:rPr>
        <w:t>双边治理</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双层治理、</w:t>
      </w:r>
      <w:r>
        <w:rPr>
          <w:rFonts w:hint="eastAsia" w:ascii="仿宋_GB2312" w:hAnsi="仿宋_GB2312" w:eastAsia="仿宋_GB2312" w:cs="仿宋_GB2312"/>
          <w:b w:val="0"/>
          <w:bCs w:val="0"/>
          <w:sz w:val="32"/>
          <w:szCs w:val="32"/>
        </w:rPr>
        <w:t>四级质量</w:t>
      </w:r>
      <w:r>
        <w:rPr>
          <w:rFonts w:hint="eastAsia" w:ascii="仿宋_GB2312" w:hAnsi="仿宋_GB2312" w:eastAsia="仿宋_GB2312" w:cs="仿宋_GB2312"/>
          <w:b w:val="0"/>
          <w:bCs w:val="0"/>
          <w:sz w:val="32"/>
          <w:szCs w:val="32"/>
          <w:lang w:eastAsia="zh-CN"/>
        </w:rPr>
        <w:t>监督的</w:t>
      </w:r>
      <w:r>
        <w:rPr>
          <w:rFonts w:hint="eastAsia" w:ascii="仿宋_GB2312" w:hAnsi="仿宋_GB2312" w:eastAsia="仿宋_GB2312" w:cs="仿宋_GB2312"/>
          <w:b w:val="0"/>
          <w:bCs w:val="0"/>
          <w:sz w:val="32"/>
          <w:szCs w:val="32"/>
        </w:rPr>
        <w:t>组织运行模式</w:t>
      </w:r>
      <w:r>
        <w:rPr>
          <w:rFonts w:hint="eastAsia" w:ascii="仿宋_GB2312" w:hAnsi="仿宋_GB2312" w:eastAsia="仿宋_GB2312" w:cs="仿宋_GB2312"/>
          <w:b w:val="0"/>
          <w:bCs w:val="0"/>
          <w:sz w:val="32"/>
          <w:szCs w:val="32"/>
          <w:lang w:eastAsia="zh-CN"/>
        </w:rPr>
        <w:t>，确保学校内部质量结构优化，运行高效。</w:t>
      </w:r>
      <w:r>
        <w:rPr>
          <w:rFonts w:hint="eastAsia" w:ascii="仿宋_GB2312" w:hAnsi="仿宋_GB2312" w:eastAsia="仿宋_GB2312" w:cs="仿宋_GB2312"/>
          <w:sz w:val="32"/>
          <w:szCs w:val="32"/>
        </w:rPr>
        <w:t>在原有的质量</w:t>
      </w:r>
      <w:r>
        <w:rPr>
          <w:rFonts w:hint="eastAsia" w:ascii="仿宋_GB2312" w:hAnsi="仿宋_GB2312" w:eastAsia="仿宋_GB2312" w:cs="仿宋_GB2312"/>
          <w:sz w:val="32"/>
          <w:szCs w:val="32"/>
          <w:lang w:eastAsia="zh-CN"/>
        </w:rPr>
        <w:t>保证</w:t>
      </w:r>
      <w:r>
        <w:rPr>
          <w:rFonts w:hint="eastAsia" w:ascii="仿宋_GB2312" w:hAnsi="仿宋_GB2312" w:eastAsia="仿宋_GB2312" w:cs="仿宋_GB2312"/>
          <w:sz w:val="32"/>
          <w:szCs w:val="32"/>
        </w:rPr>
        <w:t>体系基础上，以教育部诊改委“五纵五横”顶层设计为指导</w:t>
      </w:r>
      <w:r>
        <w:rPr>
          <w:rFonts w:hint="eastAsia" w:ascii="仿宋_GB2312" w:hAnsi="仿宋_GB2312" w:eastAsia="仿宋_GB2312" w:cs="仿宋_GB2312"/>
          <w:sz w:val="32"/>
          <w:szCs w:val="32"/>
          <w:lang w:eastAsia="zh-CN"/>
        </w:rPr>
        <w:t>思路</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双高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建设的目标和要求，打造“目标链”和“标准链”，构成</w:t>
      </w:r>
      <w:r>
        <w:rPr>
          <w:rFonts w:hint="eastAsia" w:ascii="仿宋_GB2312" w:hAnsi="仿宋_GB2312" w:eastAsia="仿宋_GB2312" w:cs="仿宋_GB2312"/>
          <w:sz w:val="32"/>
          <w:szCs w:val="32"/>
          <w:lang w:eastAsia="zh-CN"/>
        </w:rPr>
        <w:t>内部</w:t>
      </w:r>
      <w:r>
        <w:rPr>
          <w:rFonts w:hint="eastAsia" w:ascii="仿宋_GB2312" w:hAnsi="仿宋_GB2312" w:eastAsia="仿宋_GB2312" w:cs="仿宋_GB2312"/>
          <w:sz w:val="32"/>
          <w:szCs w:val="32"/>
        </w:rPr>
        <w:t>质量管理体系和操作层面的任务体系，找准</w:t>
      </w:r>
      <w:r>
        <w:rPr>
          <w:rFonts w:hint="eastAsia" w:ascii="仿宋_GB2312" w:hAnsi="仿宋_GB2312" w:eastAsia="仿宋_GB2312" w:cs="仿宋_GB2312"/>
          <w:sz w:val="32"/>
          <w:szCs w:val="32"/>
          <w:lang w:eastAsia="zh-CN"/>
        </w:rPr>
        <w:t>重点</w:t>
      </w:r>
      <w:r>
        <w:rPr>
          <w:rFonts w:hint="eastAsia" w:ascii="仿宋_GB2312" w:hAnsi="仿宋_GB2312" w:eastAsia="仿宋_GB2312" w:cs="仿宋_GB2312"/>
          <w:sz w:val="32"/>
          <w:szCs w:val="32"/>
        </w:rPr>
        <w:t>难点，借助第三方发力，全面激活诊改工作</w:t>
      </w:r>
      <w:r>
        <w:rPr>
          <w:rFonts w:hint="eastAsia" w:ascii="仿宋_GB2312" w:hAnsi="仿宋_GB2312" w:eastAsia="仿宋_GB2312" w:cs="仿宋_GB2312"/>
          <w:sz w:val="32"/>
          <w:szCs w:val="32"/>
          <w:lang w:eastAsia="zh-CN"/>
        </w:rPr>
        <w:t>。</w:t>
      </w:r>
      <w:r>
        <w:rPr>
          <w:rFonts w:hint="eastAsia" w:ascii="仿宋_GB2312" w:hAnsi="仿宋_GB2312" w:cs="仿宋_GB2312"/>
          <w:sz w:val="32"/>
          <w:szCs w:val="32"/>
          <w:lang w:val="en-US" w:eastAsia="zh-CN"/>
        </w:rPr>
        <w:t>2020年</w:t>
      </w:r>
      <w:r>
        <w:rPr>
          <w:rFonts w:hint="eastAsia" w:ascii="仿宋_GB2312" w:hAnsi="仿宋_GB2312" w:cs="仿宋_GB2312"/>
          <w:sz w:val="32"/>
          <w:szCs w:val="32"/>
          <w:lang w:eastAsia="zh-CN"/>
        </w:rPr>
        <w:t>学校诊改工作成功入选全国职业院校教学工作诊断与改进制度建设优秀案例。</w:t>
      </w:r>
    </w:p>
    <w:p>
      <w:pPr>
        <w:pStyle w:val="5"/>
        <w:bidi w:val="0"/>
        <w:rPr>
          <w:rFonts w:hint="eastAsia"/>
          <w:lang w:eastAsia="zh-CN"/>
        </w:rPr>
      </w:pPr>
      <w:bookmarkStart w:id="116" w:name="_Toc24302"/>
      <w:r>
        <w:rPr>
          <w:rFonts w:hint="eastAsia"/>
          <w:lang w:val="en-US" w:eastAsia="zh-CN"/>
        </w:rPr>
        <w:t>2.</w:t>
      </w:r>
      <w:r>
        <w:rPr>
          <w:rFonts w:hint="eastAsia"/>
        </w:rPr>
        <w:t>建设校本数据平台</w:t>
      </w:r>
      <w:r>
        <w:rPr>
          <w:rFonts w:hint="eastAsia"/>
          <w:lang w:eastAsia="zh-CN"/>
        </w:rPr>
        <w:t>，助力教育教学</w:t>
      </w:r>
      <w:bookmarkEnd w:id="116"/>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lang w:eastAsia="zh-CN"/>
        </w:rPr>
        <w:t>学校校本数据平台</w:t>
      </w:r>
      <w:r>
        <w:rPr>
          <w:rFonts w:hint="eastAsia" w:ascii="仿宋_GB2312" w:hAnsi="仿宋_GB2312" w:eastAsia="仿宋_GB2312" w:cs="仿宋_GB2312"/>
          <w:sz w:val="32"/>
          <w:szCs w:val="32"/>
        </w:rPr>
        <w:t>以系统集成化、管理可视化、工作协同化、流程标准化为目标，突出以软件环境建设为主、</w:t>
      </w:r>
      <w:r>
        <w:rPr>
          <w:rFonts w:hint="eastAsia" w:ascii="仿宋_GB2312" w:hAnsi="仿宋_GB2312" w:eastAsia="仿宋_GB2312" w:cs="仿宋_GB2312"/>
          <w:sz w:val="32"/>
          <w:szCs w:val="32"/>
          <w:lang w:eastAsia="zh-CN"/>
        </w:rPr>
        <w:t>数据</w:t>
      </w:r>
      <w:r>
        <w:rPr>
          <w:rFonts w:hint="eastAsia" w:ascii="仿宋_GB2312" w:hAnsi="仿宋_GB2312" w:eastAsia="仿宋_GB2312" w:cs="仿宋_GB2312"/>
          <w:sz w:val="32"/>
          <w:szCs w:val="32"/>
        </w:rPr>
        <w:t>融合为主</w:t>
      </w:r>
      <w:r>
        <w:rPr>
          <w:rFonts w:hint="eastAsia" w:ascii="仿宋_GB2312" w:hAnsi="仿宋_GB2312" w:eastAsia="仿宋_GB2312" w:cs="仿宋_GB2312"/>
          <w:sz w:val="32"/>
          <w:szCs w:val="32"/>
          <w:lang w:eastAsia="zh-CN"/>
        </w:rPr>
        <w:t>线</w:t>
      </w:r>
      <w:r>
        <w:rPr>
          <w:rFonts w:hint="eastAsia" w:ascii="仿宋_GB2312" w:hAnsi="仿宋_GB2312" w:eastAsia="仿宋_GB2312" w:cs="仿宋_GB2312"/>
          <w:sz w:val="32"/>
          <w:szCs w:val="32"/>
        </w:rPr>
        <w:t>、数据综合应用为</w:t>
      </w:r>
      <w:r>
        <w:rPr>
          <w:rFonts w:hint="eastAsia" w:ascii="仿宋_GB2312" w:hAnsi="仿宋_GB2312" w:eastAsia="仿宋_GB2312" w:cs="仿宋_GB2312"/>
          <w:sz w:val="32"/>
          <w:szCs w:val="32"/>
          <w:lang w:eastAsia="zh-CN"/>
        </w:rPr>
        <w:t>核心</w:t>
      </w:r>
      <w:r>
        <w:rPr>
          <w:rFonts w:hint="eastAsia" w:ascii="仿宋_GB2312" w:hAnsi="仿宋_GB2312" w:eastAsia="仿宋_GB2312" w:cs="仿宋_GB2312"/>
          <w:sz w:val="32"/>
          <w:szCs w:val="32"/>
        </w:rPr>
        <w:t>的建设内容，分数据采集、数据融合、数据分析、数据应用等4个步骤全面推进校本数据平台建设，努力构建创新、协调、绿色、开放、共享的智慧校园,为人才培养质量过程实时监控提供支持与</w:t>
      </w:r>
      <w:r>
        <w:rPr>
          <w:rFonts w:hint="eastAsia" w:ascii="仿宋_GB2312" w:hAnsi="仿宋_GB2312" w:eastAsia="仿宋_GB2312" w:cs="仿宋_GB2312"/>
          <w:sz w:val="32"/>
          <w:szCs w:val="32"/>
          <w:lang w:eastAsia="zh-CN"/>
        </w:rPr>
        <w:t>保证</w:t>
      </w:r>
      <w:r>
        <w:rPr>
          <w:rFonts w:hint="eastAsia" w:ascii="仿宋_GB2312" w:hAnsi="仿宋_GB2312" w:eastAsia="仿宋_GB2312" w:cs="仿宋_GB2312"/>
          <w:sz w:val="32"/>
          <w:szCs w:val="32"/>
        </w:rPr>
        <w:t>。</w:t>
      </w:r>
    </w:p>
    <w:p>
      <w:pPr>
        <w:pStyle w:val="5"/>
        <w:bidi w:val="0"/>
        <w:rPr>
          <w:rFonts w:hint="eastAsia" w:ascii="仿宋_GB2312" w:hAnsi="仿宋_GB2312" w:eastAsia="仿宋_GB2312" w:cs="仿宋_GB2312"/>
          <w:b/>
          <w:bCs/>
          <w:kern w:val="0"/>
          <w:szCs w:val="32"/>
          <w:lang w:eastAsia="zh-CN"/>
        </w:rPr>
      </w:pPr>
      <w:bookmarkStart w:id="117" w:name="_Toc6183"/>
      <w:r>
        <w:rPr>
          <w:rFonts w:hint="eastAsia"/>
          <w:lang w:val="en-US" w:eastAsia="zh-CN"/>
        </w:rPr>
        <w:t>3.</w:t>
      </w:r>
      <w:r>
        <w:rPr>
          <w:rFonts w:hint="eastAsia"/>
        </w:rPr>
        <w:t>建立常态</w:t>
      </w:r>
      <w:r>
        <w:rPr>
          <w:rFonts w:hint="eastAsia"/>
          <w:lang w:eastAsia="zh-CN"/>
        </w:rPr>
        <w:t>化</w:t>
      </w:r>
      <w:r>
        <w:rPr>
          <w:rFonts w:hint="eastAsia"/>
        </w:rPr>
        <w:t>诊改</w:t>
      </w:r>
      <w:r>
        <w:rPr>
          <w:rFonts w:hint="eastAsia"/>
          <w:lang w:eastAsia="zh-CN"/>
        </w:rPr>
        <w:t>机制，全面提升人才培养质量</w:t>
      </w:r>
      <w:bookmarkEnd w:id="117"/>
    </w:p>
    <w:p>
      <w:pPr>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sz w:val="32"/>
          <w:szCs w:val="32"/>
          <w:lang w:eastAsia="zh-CN"/>
        </w:rPr>
        <w:t>遵循“以学生为主体，以教师为主导”的教育理念，依托学校“六位一体”（目标体系、标准体系、管理体系、保证体系、监督体系、评价体系）的大数据内诊平台及其他教学平台。</w:t>
      </w:r>
      <w:r>
        <w:rPr>
          <w:rFonts w:hint="eastAsia" w:ascii="仿宋_GB2312" w:hAnsi="仿宋_GB2312" w:eastAsia="仿宋_GB2312" w:cs="仿宋_GB2312"/>
          <w:bCs/>
          <w:sz w:val="32"/>
          <w:szCs w:val="32"/>
        </w:rPr>
        <w:t>通过教学层面数据画像，从目标完成度、完成质量、对比排名、预警、发展趋势等方面进行数据分析，以</w:t>
      </w:r>
      <w:r>
        <w:rPr>
          <w:rFonts w:hint="eastAsia" w:ascii="仿宋_GB2312" w:hAnsi="仿宋_GB2312" w:eastAsia="仿宋_GB2312" w:cs="仿宋_GB2312"/>
          <w:bCs/>
          <w:sz w:val="32"/>
          <w:szCs w:val="32"/>
          <w:lang w:eastAsia="zh-CN"/>
        </w:rPr>
        <w:t>工作过程化绩效考核</w:t>
      </w:r>
      <w:r>
        <w:rPr>
          <w:rFonts w:hint="eastAsia" w:ascii="仿宋_GB2312" w:hAnsi="仿宋_GB2312" w:eastAsia="仿宋_GB2312" w:cs="仿宋_GB2312"/>
          <w:bCs/>
          <w:sz w:val="32"/>
          <w:szCs w:val="32"/>
        </w:rPr>
        <w:t>为抓手，开展常态化的自我诊改，及时发出预警和即时跟进调控、改进。同时以静态螺旋为指引，促进质量螺旋上升</w:t>
      </w:r>
      <w:r>
        <w:rPr>
          <w:rFonts w:hint="eastAsia" w:ascii="仿宋_GB2312" w:hAnsi="仿宋_GB2312" w:eastAsia="仿宋_GB2312" w:cs="仿宋_GB2312"/>
          <w:bCs/>
          <w:sz w:val="32"/>
          <w:szCs w:val="32"/>
          <w:lang w:eastAsia="zh-CN"/>
        </w:rPr>
        <w:t>，有效提升教师教学质量与学生学习的自主性，增</w:t>
      </w:r>
      <w:r>
        <w:rPr>
          <w:rFonts w:hint="eastAsia" w:ascii="仿宋_GB2312" w:hAnsi="仿宋_GB2312" w:eastAsia="仿宋_GB2312" w:cs="仿宋_GB2312"/>
          <w:b w:val="0"/>
          <w:bCs w:val="0"/>
          <w:kern w:val="0"/>
          <w:sz w:val="32"/>
          <w:szCs w:val="32"/>
          <w:lang w:eastAsia="zh-CN"/>
        </w:rPr>
        <w:t>强教学效果。</w:t>
      </w:r>
    </w:p>
    <w:p>
      <w:pPr>
        <w:pStyle w:val="5"/>
        <w:bidi w:val="0"/>
        <w:rPr>
          <w:rFonts w:hint="eastAsia"/>
        </w:rPr>
      </w:pPr>
      <w:bookmarkStart w:id="118" w:name="_Toc8497"/>
      <w:r>
        <w:rPr>
          <w:rFonts w:hint="eastAsia"/>
          <w:lang w:val="en-US" w:eastAsia="zh-CN"/>
        </w:rPr>
        <w:t>4.</w:t>
      </w:r>
      <w:r>
        <w:rPr>
          <w:rFonts w:hint="eastAsia"/>
        </w:rPr>
        <w:t>持续推进质量管理监控机制和评价制度改革</w:t>
      </w:r>
      <w:bookmarkEnd w:id="115"/>
      <w:bookmarkEnd w:id="118"/>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cs="仿宋_GB2312"/>
          <w:sz w:val="32"/>
          <w:szCs w:val="32"/>
          <w:lang w:val="en-US" w:eastAsia="zh-CN"/>
        </w:rPr>
      </w:pPr>
      <w:r>
        <w:rPr>
          <w:rFonts w:hint="eastAsia" w:ascii="仿宋_GB2312" w:hAnsi="仿宋_GB2312" w:eastAsia="仿宋_GB2312" w:cs="仿宋_GB2312"/>
          <w:sz w:val="32"/>
          <w:szCs w:val="32"/>
        </w:rPr>
        <w:t>持续加强教学过程监控，建立了专业预警与退出反馈机制，不断完善督导听评课管理，定期召开教学工作会议，每学期开展教学常规督查、教师工作业绩考核和学生评教等，通过部门网站、QQ群、海报、展板、知识手册等发布动态，反馈问题，介绍经验，丰富反馈渠道，持续优化教学质量评价与反馈机制；严格按照教育部和自治区教育厅相关文件要求按时按质地完成开学专项督查，适应社会需求能力评估，人才培养工作状态数据采集与监测，高等职业教育质量年度报告编制、发布和报送等工作；积极引入第三方评价，与麦克思合作开展专业评估、毕业生就业质量评估等。</w:t>
      </w:r>
      <w:r>
        <w:rPr>
          <w:rFonts w:hint="eastAsia" w:ascii="仿宋_GB2312" w:hAnsi="仿宋_GB2312" w:cs="仿宋_GB2312"/>
          <w:sz w:val="32"/>
          <w:szCs w:val="32"/>
          <w:lang w:val="en-US" w:eastAsia="zh-CN"/>
        </w:rPr>
        <w:t xml:space="preserve">              </w:t>
      </w:r>
    </w:p>
    <w:p>
      <w:pPr>
        <w:pStyle w:val="4"/>
        <w:bidi w:val="0"/>
        <w:ind w:left="0" w:leftChars="0" w:firstLine="321" w:firstLineChars="100"/>
        <w:rPr>
          <w:rFonts w:hint="eastAsia"/>
          <w:lang w:eastAsia="zh-CN"/>
        </w:rPr>
      </w:pPr>
      <w:bookmarkStart w:id="119" w:name="_Toc27745"/>
      <w:r>
        <w:rPr>
          <w:rFonts w:hint="eastAsia"/>
          <w:lang w:val="en-US" w:eastAsia="zh-CN"/>
        </w:rPr>
        <w:t>（六）</w:t>
      </w:r>
      <w:r>
        <w:rPr>
          <w:rFonts w:hint="eastAsia"/>
          <w:lang w:eastAsia="zh-CN"/>
        </w:rPr>
        <w:t>经费投入与支出</w:t>
      </w:r>
      <w:bookmarkEnd w:id="119"/>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b/>
          <w:bCs w:val="0"/>
          <w:color w:val="auto"/>
          <w:kern w:val="2"/>
          <w:sz w:val="32"/>
          <w:szCs w:val="32"/>
          <w:lang w:eastAsia="zh-CN"/>
        </w:rPr>
      </w:pPr>
      <w:r>
        <w:rPr>
          <w:rFonts w:hint="eastAsia" w:ascii="仿宋_GB2312" w:hAnsi="仿宋_GB2312" w:eastAsia="仿宋_GB2312" w:cs="仿宋_GB2312"/>
          <w:sz w:val="32"/>
          <w:szCs w:val="32"/>
        </w:rPr>
        <w:t>2019年度，学校总收入</w:t>
      </w:r>
      <w:r>
        <w:rPr>
          <w:rFonts w:hint="eastAsia" w:ascii="仿宋_GB2312" w:hAnsi="仿宋_GB2312" w:eastAsia="仿宋_GB2312" w:cs="仿宋_GB2312"/>
          <w:color w:val="000000"/>
          <w:sz w:val="32"/>
          <w:szCs w:val="32"/>
          <w:shd w:val="clear" w:color="auto" w:fill="FFFFFF"/>
        </w:rPr>
        <w:t>41007.33</w:t>
      </w:r>
      <w:r>
        <w:rPr>
          <w:rFonts w:hint="eastAsia" w:ascii="仿宋_GB2312" w:hAnsi="仿宋_GB2312" w:eastAsia="仿宋_GB2312" w:cs="仿宋_GB2312"/>
          <w:sz w:val="32"/>
          <w:szCs w:val="32"/>
        </w:rPr>
        <w:t>万元，其中学费收入12528.01万元，财政经常性补助收入5832.41万元，中央、地方财政专项投入</w:t>
      </w:r>
      <w:r>
        <w:rPr>
          <w:rFonts w:hint="eastAsia" w:ascii="仿宋_GB2312" w:hAnsi="仿宋_GB2312" w:eastAsia="仿宋_GB2312" w:cs="仿宋_GB2312"/>
          <w:color w:val="000000"/>
          <w:sz w:val="32"/>
          <w:szCs w:val="32"/>
          <w:shd w:val="clear" w:color="auto" w:fill="FFFFFF"/>
        </w:rPr>
        <w:t>22168.93</w:t>
      </w:r>
      <w:r>
        <w:rPr>
          <w:rFonts w:hint="eastAsia" w:ascii="仿宋_GB2312" w:hAnsi="仿宋_GB2312" w:eastAsia="仿宋_GB2312" w:cs="仿宋_GB2312"/>
          <w:sz w:val="32"/>
          <w:szCs w:val="32"/>
        </w:rPr>
        <w:t>万元，其他收入477.98万元。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学校总支出</w:t>
      </w:r>
      <w:r>
        <w:rPr>
          <w:rFonts w:hint="eastAsia" w:ascii="仿宋_GB2312" w:hAnsi="仿宋_GB2312" w:eastAsia="仿宋_GB2312" w:cs="仿宋_GB2312"/>
          <w:color w:val="000000"/>
          <w:sz w:val="32"/>
          <w:szCs w:val="32"/>
          <w:shd w:val="clear" w:color="auto" w:fill="FFFFFF"/>
        </w:rPr>
        <w:t>42957.17</w:t>
      </w:r>
      <w:r>
        <w:rPr>
          <w:rFonts w:hint="eastAsia" w:ascii="仿宋_GB2312" w:hAnsi="仿宋_GB2312" w:eastAsia="仿宋_GB2312" w:cs="仿宋_GB2312"/>
          <w:sz w:val="32"/>
          <w:szCs w:val="32"/>
        </w:rPr>
        <w:t>万元；其中直接教学经费投入共7727.14万元，包括用于日常教学经费194.64万元；教学改革及科研经费545.66万元；全校差旅费422.79万元，培训费47.39万元（含行政人员）图书购置费186.6万元；教学仪器设备采购投入4650.66万元。</w:t>
      </w:r>
    </w:p>
    <w:p>
      <w:pPr>
        <w:pStyle w:val="3"/>
        <w:bidi w:val="0"/>
        <w:rPr>
          <w:rFonts w:hint="eastAsia"/>
          <w:lang w:eastAsia="zh-CN"/>
        </w:rPr>
      </w:pPr>
      <w:bookmarkStart w:id="120" w:name="_Toc2713"/>
      <w:r>
        <w:rPr>
          <w:rFonts w:hint="eastAsia"/>
          <w:lang w:eastAsia="zh-CN"/>
        </w:rPr>
        <w:t>五、国际交流与合作</w:t>
      </w:r>
      <w:bookmarkEnd w:id="120"/>
    </w:p>
    <w:p>
      <w:pPr>
        <w:pStyle w:val="4"/>
        <w:bidi w:val="0"/>
        <w:rPr>
          <w:rFonts w:hint="eastAsia"/>
        </w:rPr>
      </w:pPr>
      <w:bookmarkStart w:id="121" w:name="_Toc22662"/>
      <w:r>
        <w:rPr>
          <w:rFonts w:hint="eastAsia"/>
        </w:rPr>
        <w:t>（一）围绕“双高计划”，以关键领域突破，加速国际化建设水平</w:t>
      </w:r>
      <w:bookmarkEnd w:id="121"/>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sz w:val="32"/>
          <w:szCs w:val="32"/>
        </w:rPr>
        <w:t>落实“双高”建设任务，国际专业认证取得新突破。2020年5月顺利完成“双高”备案工作，各项建设任务稳步推进。克服新冠疫情造成的跨国（境）交流几乎处于停滞状态的不利因素，</w:t>
      </w:r>
      <w:r>
        <w:rPr>
          <w:rFonts w:hint="eastAsia" w:ascii="仿宋_GB2312" w:hAnsi="仿宋_GB2312" w:eastAsia="仿宋_GB2312" w:cs="仿宋_GB2312"/>
          <w:bCs/>
          <w:sz w:val="32"/>
          <w:szCs w:val="32"/>
        </w:rPr>
        <w:t>完成与英国国家学历学位评估认证中心对接，成为其高级会员单位、</w:t>
      </w:r>
      <w:r>
        <w:rPr>
          <w:rFonts w:hint="eastAsia" w:ascii="仿宋_GB2312" w:hAnsi="仿宋_GB2312" w:eastAsia="仿宋_GB2312" w:cs="仿宋_GB2312"/>
          <w:bCs/>
          <w:kern w:val="0"/>
          <w:sz w:val="32"/>
          <w:szCs w:val="32"/>
          <w:lang w:bidi="ar"/>
        </w:rPr>
        <w:t>副理事长单位、</w:t>
      </w:r>
      <w:r>
        <w:rPr>
          <w:rFonts w:hint="eastAsia" w:ascii="仿宋_GB2312" w:hAnsi="仿宋_GB2312" w:eastAsia="仿宋_GB2312" w:cs="仿宋_GB2312"/>
          <w:bCs/>
          <w:sz w:val="32"/>
          <w:szCs w:val="32"/>
        </w:rPr>
        <w:t>2020年全国20个专业国际认证试点院校之一，梁伟、姚琦入选其国际专家库，</w:t>
      </w:r>
      <w:r>
        <w:rPr>
          <w:rFonts w:hint="eastAsia" w:ascii="仿宋_GB2312" w:hAnsi="仿宋_GB2312" w:eastAsia="仿宋_GB2312" w:cs="仿宋_GB2312"/>
          <w:kern w:val="0"/>
          <w:sz w:val="32"/>
          <w:szCs w:val="32"/>
          <w:lang w:bidi="ar"/>
        </w:rPr>
        <w:t>确定建筑工程技术、建设工程管理两个“双高”专业进行国际认证</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通过专业国际比对推进专业标准的形成与输出，提升我校国际化专业建设质量与水平。</w:t>
      </w:r>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主动融入“一带一路”建设，完善国际学生管理制度，国际学生招生工作取得新突破。基本完成</w:t>
      </w:r>
      <w:r>
        <w:rPr>
          <w:rFonts w:hint="eastAsia" w:ascii="仿宋_GB2312" w:hAnsi="仿宋_GB2312" w:eastAsia="仿宋_GB2312" w:cs="仿宋_GB2312"/>
          <w:sz w:val="32"/>
          <w:szCs w:val="32"/>
        </w:rPr>
        <w:t>国际学生</w:t>
      </w:r>
      <w:r>
        <w:rPr>
          <w:rFonts w:hint="eastAsia" w:ascii="仿宋_GB2312" w:hAnsi="仿宋_GB2312" w:eastAsia="仿宋_GB2312" w:cs="仿宋_GB2312"/>
          <w:color w:val="000000"/>
          <w:kern w:val="0"/>
          <w:sz w:val="32"/>
          <w:szCs w:val="32"/>
        </w:rPr>
        <w:t>管理制度《广西建设职业技术学院国际学生管理规定》《广西建设职业技术学院外籍教师、国际学生突发应急预案》等规范文件的制定，规范国际学生管理；完成招收国际学生备案和留学管理信息系统申请，招收2名马来西亚籍国际学生，实现招收国际学生零的突破。</w:t>
      </w:r>
    </w:p>
    <w:p>
      <w:pPr>
        <w:pStyle w:val="4"/>
        <w:bidi w:val="0"/>
        <w:ind w:left="0" w:leftChars="0" w:firstLine="321" w:firstLineChars="100"/>
        <w:rPr>
          <w:rFonts w:hint="eastAsia"/>
        </w:rPr>
      </w:pPr>
      <w:bookmarkStart w:id="122" w:name="_Toc15665"/>
      <w:r>
        <w:rPr>
          <w:rFonts w:hint="eastAsia"/>
        </w:rPr>
        <w:t>（二）克服新冠疫情影响，线上线下确保中外合作办学项目教学质量</w:t>
      </w:r>
      <w:bookmarkEnd w:id="122"/>
    </w:p>
    <w:p>
      <w:pPr>
        <w:pStyle w:val="12"/>
        <w:pageBreakBefore w:val="0"/>
        <w:widowControl w:val="0"/>
        <w:kinsoku/>
        <w:wordWrap/>
        <w:overflowPunct/>
        <w:topLinePunct w:val="0"/>
        <w:bidi w:val="0"/>
        <w:adjustRightInd w:val="0"/>
        <w:spacing w:before="0" w:beforeAutospacing="0" w:after="0" w:afterAutospacing="0" w:line="560" w:lineRule="exact"/>
        <w:ind w:right="0" w:rightChars="0"/>
        <w:jc w:val="both"/>
        <w:textAlignment w:val="auto"/>
        <w:rPr>
          <w:rFonts w:hint="eastAsia" w:ascii="仿宋_GB2312" w:hAnsi="仿宋_GB2312" w:eastAsia="仿宋_GB2312" w:cs="仿宋_GB2312"/>
          <w:color w:val="0000FF"/>
          <w:kern w:val="2"/>
          <w:sz w:val="32"/>
          <w:szCs w:val="32"/>
        </w:rPr>
      </w:pPr>
      <w:r>
        <w:rPr>
          <w:rFonts w:hint="eastAsia" w:ascii="仿宋_GB2312" w:hAnsi="仿宋_GB2312" w:eastAsia="仿宋_GB2312" w:cs="仿宋_GB2312"/>
          <w:color w:val="0000FF"/>
          <w:kern w:val="2"/>
          <w:sz w:val="32"/>
          <w:szCs w:val="32"/>
        </w:rPr>
        <w:t xml:space="preserve">   </w:t>
      </w:r>
      <w:r>
        <w:rPr>
          <w:rFonts w:hint="default" w:ascii="仿宋_GB2312" w:hAnsi="仿宋_GB2312" w:eastAsia="仿宋_GB2312" w:cs="仿宋_GB2312"/>
          <w:color w:val="0000FF"/>
          <w:kern w:val="2"/>
          <w:sz w:val="32"/>
          <w:szCs w:val="32"/>
        </w:rPr>
        <w:t xml:space="preserve"> </w:t>
      </w:r>
      <w:r>
        <w:rPr>
          <w:rFonts w:hint="eastAsia" w:ascii="仿宋_GB2312" w:hAnsi="仿宋_GB2312" w:eastAsia="仿宋_GB2312" w:cs="仿宋_GB2312"/>
          <w:bCs/>
          <w:color w:val="000000"/>
          <w:sz w:val="32"/>
          <w:szCs w:val="32"/>
        </w:rPr>
        <w:t>完成中美合作办学项目2019及2020级6门美方课程。受全球新冠疫情影响，本年度美方课程均采取线上教学模式，为规范管理，确保线上教学实施质量，教务科研处国际交流中心、土木工程系、公共基础部选派业务能力强、英语水平高的教师共同参与教学，为学生提供线下答疑，课后辅导等，有序推进教学进度，确保教学质量，提高学生获得感。</w:t>
      </w:r>
    </w:p>
    <w:p>
      <w:pPr>
        <w:pStyle w:val="4"/>
        <w:bidi w:val="0"/>
        <w:ind w:left="0" w:leftChars="0" w:firstLine="321" w:firstLineChars="100"/>
        <w:rPr>
          <w:rFonts w:hint="eastAsia"/>
        </w:rPr>
      </w:pPr>
      <w:bookmarkStart w:id="123" w:name="_Toc2887"/>
      <w:r>
        <w:rPr>
          <w:rFonts w:hint="eastAsia"/>
        </w:rPr>
        <w:t>（三）跨国（境）线上交流培训，助力师资队伍国际化视野培养</w:t>
      </w:r>
      <w:bookmarkEnd w:id="123"/>
    </w:p>
    <w:p>
      <w:pPr>
        <w:pStyle w:val="2"/>
        <w:pageBreakBefore w:val="0"/>
        <w:widowControl w:val="0"/>
        <w:kinsoku/>
        <w:wordWrap/>
        <w:overflowPunct/>
        <w:topLinePunct w:val="0"/>
        <w:autoSpaceDE/>
        <w:autoSpaceDN/>
        <w:bidi w:val="0"/>
        <w:snapToGrid/>
        <w:spacing w:before="0" w:after="0" w:line="560" w:lineRule="exact"/>
        <w:ind w:left="0" w:leftChars="0" w:right="0" w:rightChars="0" w:firstLine="640"/>
        <w:jc w:val="both"/>
        <w:textAlignment w:val="auto"/>
        <w:rPr>
          <w:rFonts w:hint="eastAsia" w:ascii="仿宋_GB2312" w:hAnsi="仿宋_GB2312" w:eastAsia="仿宋_GB2312" w:cs="仿宋_GB2312"/>
          <w:b w:val="0"/>
          <w:bCs w:val="0"/>
          <w:color w:val="auto"/>
          <w:kern w:val="2"/>
          <w:sz w:val="32"/>
          <w:szCs w:val="32"/>
          <w:lang w:eastAsia="zh-CN"/>
        </w:rPr>
      </w:pPr>
      <w:r>
        <w:rPr>
          <w:rFonts w:hint="eastAsia" w:ascii="仿宋_GB2312" w:hAnsi="仿宋_GB2312" w:eastAsia="仿宋_GB2312" w:cs="仿宋_GB2312"/>
          <w:b w:val="0"/>
          <w:bCs w:val="0"/>
          <w:color w:val="000000"/>
          <w:sz w:val="32"/>
          <w:szCs w:val="32"/>
        </w:rPr>
        <w:t>拓展国际交流渠道，提升师资队伍国际化水平。受全球新冠疫情的影响，2020年赴国（境）外访研修、国际会议均采用线上进行，学校组织包括两个“双高”专业群在内的近</w:t>
      </w:r>
      <w:r>
        <w:rPr>
          <w:rFonts w:hint="eastAsia" w:ascii="仿宋_GB2312" w:hAnsi="仿宋_GB2312" w:eastAsia="仿宋_GB2312" w:cs="仿宋_GB2312"/>
          <w:b w:val="0"/>
          <w:bCs w:val="0"/>
          <w:sz w:val="32"/>
          <w:szCs w:val="32"/>
        </w:rPr>
        <w:t>30名骨干教师参加了由教育</w:t>
      </w:r>
      <w:r>
        <w:rPr>
          <w:rFonts w:hint="eastAsia" w:ascii="仿宋_GB2312" w:hAnsi="仿宋_GB2312" w:eastAsia="仿宋_GB2312" w:cs="仿宋_GB2312"/>
          <w:b w:val="0"/>
          <w:bCs w:val="0"/>
          <w:sz w:val="32"/>
          <w:szCs w:val="32"/>
          <w:lang w:eastAsia="zh-CN"/>
        </w:rPr>
        <w:t>部</w:t>
      </w:r>
      <w:r>
        <w:rPr>
          <w:rFonts w:hint="eastAsia" w:ascii="仿宋_GB2312" w:hAnsi="仿宋_GB2312" w:eastAsia="仿宋_GB2312" w:cs="仿宋_GB2312"/>
          <w:b w:val="0"/>
          <w:bCs w:val="0"/>
          <w:sz w:val="32"/>
          <w:szCs w:val="32"/>
        </w:rPr>
        <w:t>、知名高校以及国际组织联合举办的线上培训；2名教师入选2020年广西高校优秀教师出国深造计划名单，获资金支持35.6万元。</w:t>
      </w:r>
    </w:p>
    <w:p>
      <w:pPr>
        <w:pStyle w:val="3"/>
        <w:keepNext/>
        <w:keepLines/>
        <w:pageBreakBefore w:val="0"/>
        <w:widowControl w:val="0"/>
        <w:kinsoku/>
        <w:wordWrap/>
        <w:overflowPunct/>
        <w:topLinePunct w:val="0"/>
        <w:autoSpaceDE/>
        <w:autoSpaceDN/>
        <w:bidi w:val="0"/>
        <w:adjustRightInd/>
        <w:snapToGrid/>
        <w:spacing w:line="560" w:lineRule="exact"/>
        <w:textAlignment w:val="auto"/>
        <w:rPr>
          <w:rFonts w:hint="eastAsia"/>
          <w:lang w:eastAsia="zh-CN"/>
        </w:rPr>
      </w:pPr>
      <w:bookmarkStart w:id="124" w:name="_Toc13937"/>
      <w:r>
        <w:rPr>
          <w:rFonts w:hint="eastAsia"/>
          <w:lang w:eastAsia="zh-CN"/>
        </w:rPr>
        <w:t>六、服务贡献</w:t>
      </w:r>
      <w:bookmarkEnd w:id="124"/>
    </w:p>
    <w:p>
      <w:pPr>
        <w:pStyle w:val="4"/>
        <w:keepNext/>
        <w:keepLines/>
        <w:pageBreakBefore w:val="0"/>
        <w:widowControl w:val="0"/>
        <w:kinsoku/>
        <w:wordWrap/>
        <w:overflowPunct/>
        <w:topLinePunct w:val="0"/>
        <w:autoSpaceDE/>
        <w:autoSpaceDN/>
        <w:bidi w:val="0"/>
        <w:adjustRightInd/>
        <w:snapToGrid/>
        <w:spacing w:line="560" w:lineRule="exact"/>
        <w:ind w:left="0" w:leftChars="0" w:firstLine="321" w:firstLineChars="100"/>
        <w:textAlignment w:val="auto"/>
        <w:rPr>
          <w:rFonts w:hint="eastAsia"/>
          <w:lang w:eastAsia="zh-CN"/>
        </w:rPr>
      </w:pPr>
      <w:bookmarkStart w:id="125" w:name="_Toc6048"/>
      <w:r>
        <w:rPr>
          <w:rFonts w:hint="eastAsia"/>
          <w:lang w:eastAsia="zh-CN"/>
        </w:rPr>
        <w:t>（一）服务国家战略情况</w:t>
      </w:r>
      <w:bookmarkEnd w:id="125"/>
    </w:p>
    <w:p>
      <w:pPr>
        <w:pStyle w:val="5"/>
        <w:bidi w:val="0"/>
        <w:rPr>
          <w:rFonts w:hint="eastAsia"/>
          <w:lang w:val="en-US" w:eastAsia="zh-CN"/>
        </w:rPr>
      </w:pPr>
      <w:bookmarkStart w:id="126" w:name="_Toc9023"/>
      <w:r>
        <w:rPr>
          <w:rFonts w:hint="eastAsia"/>
          <w:lang w:val="en-US" w:eastAsia="zh-CN"/>
        </w:rPr>
        <w:t>1.对口支援</w:t>
      </w:r>
      <w:bookmarkEnd w:id="126"/>
    </w:p>
    <w:p>
      <w:pPr>
        <w:pStyle w:val="12"/>
        <w:keepNext w:val="0"/>
        <w:keepLines w:val="0"/>
        <w:pageBreakBefore w:val="0"/>
        <w:widowControl w:val="0"/>
        <w:kinsoku/>
        <w:wordWrap/>
        <w:overflowPunct/>
        <w:topLinePunct w:val="0"/>
        <w:autoSpaceDE/>
        <w:autoSpaceDN/>
        <w:bidi w:val="0"/>
        <w:adjustRightInd w:val="0"/>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000000"/>
          <w:kern w:val="2"/>
          <w:sz w:val="32"/>
          <w:szCs w:val="32"/>
        </w:rPr>
        <w:t>与桂林建昌建设有限公司共同成立广西高职院校首个企业全资订单班——“建昌班”。“建昌班”首届学生以2019级“精准脱贫”录取批次建筑工程技术专业的新生为主，全班100%均为贫困生，其中87%为特困生，由桂林建昌建设有限公司全额资助其3年学费、生活费及奖学金费用。继“建昌班”之后，我校与广西众泰建筑工程发展有限公司深化“建昌班”合作办学模式，共同开办现代学徒制试点班，这是我校深入开展校企合作的又一创新举措，既深化了校企合作培养人才，又发挥学校优势，创出了精准扶贫新路子。</w:t>
      </w:r>
    </w:p>
    <w:p>
      <w:pPr>
        <w:pStyle w:val="5"/>
        <w:pageBreakBefore w:val="0"/>
        <w:widowControl w:val="0"/>
        <w:kinsoku/>
        <w:wordWrap/>
        <w:overflowPunct/>
        <w:topLinePunct w:val="0"/>
        <w:autoSpaceDE/>
        <w:autoSpaceDN/>
        <w:bidi w:val="0"/>
        <w:snapToGrid/>
        <w:spacing w:line="0" w:lineRule="atLeast"/>
        <w:textAlignment w:val="auto"/>
        <w:rPr>
          <w:rFonts w:hint="eastAsia" w:ascii="仿宋_GB2312" w:hAnsi="仿宋_GB2312" w:eastAsia="仿宋_GB2312" w:cs="仿宋_GB2312"/>
          <w:lang w:val="en-US" w:eastAsia="zh-CN"/>
        </w:rPr>
      </w:pPr>
      <w:bookmarkStart w:id="127" w:name="_Toc11597"/>
      <w:r>
        <w:rPr>
          <w:rFonts w:hint="eastAsia" w:ascii="仿宋_GB2312" w:hAnsi="仿宋_GB2312" w:eastAsia="仿宋_GB2312" w:cs="仿宋_GB2312"/>
          <w:lang w:val="en-US" w:eastAsia="zh-CN"/>
        </w:rPr>
        <w:t>2.脱贫攻坚</w:t>
      </w:r>
      <w:bookmarkEnd w:id="127"/>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我校始终将定点扶贫工作作为第一政治任务、第一民生工程、一把手工程，摆在重要议事日程，切实压实定点扶贫工作责任，进一步发挥基层党组织和党员干部队伍在决战决胜脱贫攻坚战中的引领作用，有力推进脱贫攻坚工作，形成学校领导负责贫困村、党总支结对贫困村、帮扶干部结对贫困户的工作格局。2020年6月，我校获得“2019年度河池市脱贫攻坚先进集体”称号。2020年11月，我校被评“全国职业院校决胜脱贫攻坚先进集体”。我校1名驻村第一书记荣获全区优秀贫困村党组织第一书记称号。</w:t>
      </w:r>
    </w:p>
    <w:p>
      <w:pPr>
        <w:pStyle w:val="12"/>
        <w:pageBreakBefore w:val="0"/>
        <w:widowControl/>
        <w:pBdr>
          <w:top w:val="none" w:color="auto" w:sz="0" w:space="0"/>
          <w:left w:val="none" w:color="auto" w:sz="0" w:space="0"/>
          <w:bottom w:val="none" w:color="auto" w:sz="0" w:space="0"/>
          <w:right w:val="none" w:color="auto" w:sz="0" w:space="0"/>
        </w:pBdr>
        <w:tabs>
          <w:tab w:val="left" w:pos="7380"/>
        </w:tabs>
        <w:kinsoku/>
        <w:wordWrap/>
        <w:overflowPunct/>
        <w:topLinePunct w:val="0"/>
        <w:bidi w:val="0"/>
        <w:spacing w:before="0" w:beforeAutospacing="0" w:after="0" w:afterAutospacing="0" w:line="560" w:lineRule="exact"/>
        <w:ind w:right="0" w:rightChars="0" w:firstLine="482" w:firstLineChars="15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（1）加大经费投入。</w:t>
      </w:r>
      <w:r>
        <w:rPr>
          <w:rFonts w:hint="eastAsia" w:ascii="仿宋_GB2312" w:hAnsi="仿宋_GB2312" w:eastAsia="仿宋_GB2312" w:cs="仿宋_GB2312"/>
          <w:color w:val="auto"/>
          <w:kern w:val="2"/>
          <w:sz w:val="32"/>
          <w:szCs w:val="32"/>
          <w:highlight w:val="none"/>
          <w:lang w:val="en-US" w:eastAsia="zh-CN" w:bidi="ar-SA"/>
        </w:rPr>
        <w:t>支持各帮扶村推进产业发展和基础设施建设。我校立足定点帮扶村的资源优势和产业基础，扎实推进产业发展，大力培育专业合作社等新型农业经营主体，提升村集体经济可持续发展能力，增强产业发展竞争力。在2019年投入扶贫资金112万元的基础上，2020年又安排扶贫资金90万元，支持、指导定点扶贫村建设一批养殖场，帮扶贫困群众种桑养蚕，推广良种油茶、山葡萄种植。</w:t>
      </w:r>
    </w:p>
    <w:p>
      <w:pPr>
        <w:pStyle w:val="12"/>
        <w:pageBreakBefore w:val="0"/>
        <w:widowControl/>
        <w:pBdr>
          <w:top w:val="none" w:color="auto" w:sz="0" w:space="0"/>
          <w:left w:val="none" w:color="auto" w:sz="0" w:space="0"/>
          <w:bottom w:val="none" w:color="auto" w:sz="0" w:space="0"/>
          <w:right w:val="none" w:color="auto" w:sz="0" w:space="0"/>
        </w:pBdr>
        <w:tabs>
          <w:tab w:val="left" w:pos="7380"/>
        </w:tabs>
        <w:kinsoku/>
        <w:wordWrap/>
        <w:overflowPunct/>
        <w:topLinePunct w:val="0"/>
        <w:bidi w:val="0"/>
        <w:spacing w:before="0" w:beforeAutospacing="0" w:after="0" w:afterAutospacing="0" w:line="560" w:lineRule="exact"/>
        <w:ind w:right="0" w:rightChars="0" w:firstLine="482" w:firstLineChars="15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（2）深入开展“一帮一联”工作。</w:t>
      </w:r>
      <w:r>
        <w:rPr>
          <w:rFonts w:hint="eastAsia" w:ascii="仿宋_GB2312" w:hAnsi="仿宋_GB2312" w:eastAsia="仿宋_GB2312" w:cs="仿宋_GB2312"/>
          <w:color w:val="auto"/>
          <w:kern w:val="2"/>
          <w:sz w:val="32"/>
          <w:szCs w:val="32"/>
          <w:highlight w:val="none"/>
          <w:lang w:val="en-US" w:eastAsia="zh-CN" w:bidi="ar-SA"/>
        </w:rPr>
        <w:t>我校安排了122名干部结对帮扶153户，积极进村入户开展帮扶工作。2020年，在保持原来7名驻村第一书记和工作队员不撤的前提下，又增派原万茂村驻村第一书记唐红星再次驻该村任驻村第一书记，增强了工作力量。新冠肺炎疫情发生后，我校积极动员、组织广大党员干部捐款20万元，帮扶都安抗击疫情，并向帮扶村提供口罩、消毒液等防疫物资一批，助力疫情防控。</w:t>
      </w:r>
    </w:p>
    <w:p>
      <w:pPr>
        <w:pStyle w:val="12"/>
        <w:pageBreakBefore w:val="0"/>
        <w:widowControl/>
        <w:pBdr>
          <w:top w:val="none" w:color="auto" w:sz="0" w:space="0"/>
          <w:left w:val="none" w:color="auto" w:sz="0" w:space="0"/>
          <w:bottom w:val="none" w:color="auto" w:sz="0" w:space="0"/>
          <w:right w:val="none" w:color="auto" w:sz="0" w:space="0"/>
        </w:pBdr>
        <w:tabs>
          <w:tab w:val="left" w:pos="7380"/>
        </w:tabs>
        <w:kinsoku/>
        <w:wordWrap/>
        <w:overflowPunct/>
        <w:topLinePunct w:val="0"/>
        <w:bidi w:val="0"/>
        <w:spacing w:before="0" w:beforeAutospacing="0" w:after="0" w:afterAutospacing="0" w:line="560" w:lineRule="exact"/>
        <w:ind w:right="0" w:rightChars="0" w:firstLine="482" w:firstLineChars="15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（3）大力开展消费扶贫。</w:t>
      </w:r>
      <w:r>
        <w:rPr>
          <w:rFonts w:hint="eastAsia" w:ascii="仿宋_GB2312" w:hAnsi="仿宋_GB2312" w:eastAsia="仿宋_GB2312" w:cs="仿宋_GB2312"/>
          <w:color w:val="auto"/>
          <w:kern w:val="2"/>
          <w:sz w:val="32"/>
          <w:szCs w:val="32"/>
          <w:highlight w:val="none"/>
          <w:lang w:val="en-US" w:eastAsia="zh-CN" w:bidi="ar-SA"/>
        </w:rPr>
        <w:t>2020年学校从定点扶贫县采购了牛肉、大米等扶贫农产品直供食堂；并在学校食堂设立扶贫农产品销售专柜，积极发动广大教师职工优先选购贫困地区农产品。积极组织教职工到贫困地区开展工会活动，在同等条件下优先采购贫困地区产品，积极使用采购的贫困地区产品作为职工工会福利。截至目前，采购扶贫产品共计116余万元，扶贫产品占重大节日慰问品采购金额的100%，其中采购定点帮扶都安县产品扶贫产品约76万元，占扶贫产品采购金额65.5%。学校食堂采购扶贫产品约36万元，进一步激发贫困户自力更生发展产业实现脱贫的积极性。继续扩大我校“教职工扶贫农产品订购微信群”覆盖面，实行“店内看样，线上预订，线下取货”的销售模式，稳步提高扶贫产品销售量，让贫困户的农产品“卖得掉，卖得快，卖出好价钱”。号召师生通过朋友圈、微信群、短视频等渠道和方式，积极推介贫困地区优质农产品，拓宽销售渠道，校内扶贫专柜实现销售收入约12万元。</w:t>
      </w:r>
    </w:p>
    <w:p>
      <w:pPr>
        <w:pStyle w:val="12"/>
        <w:pageBreakBefore w:val="0"/>
        <w:widowControl/>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right="0" w:rightChars="0" w:firstLine="321" w:firstLineChars="1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（4）发挥职业技术培训资源优势，开办“打工课堂”。</w:t>
      </w:r>
      <w:r>
        <w:rPr>
          <w:rFonts w:hint="eastAsia" w:ascii="仿宋_GB2312" w:hAnsi="仿宋_GB2312" w:eastAsia="仿宋_GB2312" w:cs="仿宋_GB2312"/>
          <w:color w:val="auto"/>
          <w:kern w:val="2"/>
          <w:sz w:val="32"/>
          <w:szCs w:val="32"/>
          <w:highlight w:val="none"/>
          <w:lang w:val="en-US" w:eastAsia="zh-CN" w:bidi="ar-SA"/>
        </w:rPr>
        <w:t>学校利用建筑职业技术培训资源优势，为贫困群众免费开展建筑类技能培训，并将培训合格获得职业资格证书的贫困群众推荐到企业就业，促进扶贫工作由“输血式”向“造血式”的根本转变，受到地方政府和贫困群众的一致好评。2020年7月，我校建筑设备与环境工程党总支利用职业教育资源优势，与自治区住房与城乡建设厅、南宁腾安建筑机械租赁有限公司、广西建工集团大都租赁有限公司共同开办了2期广西建筑施工特种作业人员培训班，对都安县、上林县等县60名贫困群众进行了培训，使一些贫困群众掌握建筑施工实用技术，培训合格后由自治区住房城乡建设厅颁发证书，分别推荐到南宁市腾安建筑机械租赁有限责任公司、广西建工大都租赁有限公司相关岗位就业。2020年11月，举办了建筑特殊工种作业人员（建筑电工）“打工课堂”培训班，来自全区各地的37名学员参加培训。经过几年探索与努力，“打工课堂”的服务模式逐渐完善与成熟，从最初的一阶模式——送课下乡和技术服务，逐渐发展成二阶模式——技术培训+考证（即通过考试取得由人社部门颁发的专业技术技能等级证书），再到三阶模式——技术培训+考证+推荐企业就业。“打工课堂”成为了可复制、可推广的技术扶贫模式，品牌效应逐渐形成，目前已持续在天峨、忻城、都安等县展开。2020年12月，我校“稳就业 促振兴—后疫情时代广西贫困地区建筑农民工技能服务站”获得第十二届“挑战杯”中国大学生创业计划竞赛全国决赛金奖。</w:t>
      </w:r>
    </w:p>
    <w:p>
      <w:pPr>
        <w:pageBreakBefore w:val="0"/>
        <w:tabs>
          <w:tab w:val="left" w:pos="7380"/>
        </w:tabs>
        <w:kinsoku/>
        <w:wordWrap/>
        <w:overflowPunct/>
        <w:topLinePunct w:val="0"/>
        <w:autoSpaceDE w:val="0"/>
        <w:autoSpaceDN w:val="0"/>
        <w:bidi w:val="0"/>
        <w:adjustRightInd w:val="0"/>
        <w:snapToGrid w:val="0"/>
        <w:spacing w:line="560" w:lineRule="exact"/>
        <w:ind w:left="0" w:leftChars="0" w:right="0" w:rightChars="0" w:firstLine="482" w:firstLineChars="1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kern w:val="2"/>
          <w:sz w:val="32"/>
          <w:szCs w:val="32"/>
          <w:highlight w:val="none"/>
          <w:lang w:val="en-US" w:eastAsia="zh-CN" w:bidi="ar-SA"/>
        </w:rPr>
        <w:t>（5）发挥教育资源优势，强化教育扶贫。</w:t>
      </w:r>
      <w:r>
        <w:rPr>
          <w:rFonts w:hint="eastAsia" w:ascii="仿宋_GB2312" w:hAnsi="仿宋_GB2312" w:eastAsia="仿宋_GB2312" w:cs="仿宋_GB2312"/>
          <w:color w:val="auto"/>
          <w:sz w:val="32"/>
          <w:szCs w:val="32"/>
          <w:highlight w:val="none"/>
          <w:lang w:val="en-US" w:eastAsia="zh-CN"/>
        </w:rPr>
        <w:t>加大建档立卡贫困生资助和就业帮扶力度。学校聚焦扶志扶智，深入开展建档立卡贫困生资助工作，2020年共为241名建档立卡毕业生学生提供就业补助12.05万元，切实解决建档立卡贫困毕业生的求职困难。2015年以来学校建档立卡贫困毕业生的就业率均在95.5%以上。开办建档立卡贫困生“订单班”。2019年，我校与桂林建昌建设有限公司成立广西高职院校首个企业全资订单班——“建昌班”，“建昌班”首届招生生源以我校2019级“精准脱贫”批次建筑工程技术专业的新生为主，全班100%均为贫困生、87%为特困生，公司全额资助其三年学费、生活费及奖学金费用，解除贫困生的后顾之忧。2020年，学校又与广西众泰建设工程发展有限公司开办了“众泰”订单班，公司将资助45名贫困学生在校期间学费、住宿费和生活费，并为订单班学生提供优质的实习、就业岗位。通过校企联合培养贫困学生项目，助力精准扶贫。2020年8月，我校与都安县扶贫办正式签订党支部共建协议，组织师生赴都安县部分村屯开展道路护栏实地检测工作，为都安县提供道路护栏检测、乡村道路建设咨询与服务，携手共助脱贫攻坚。</w:t>
      </w:r>
    </w:p>
    <w:p>
      <w:pPr>
        <w:pageBreakBefore w:val="0"/>
        <w:tabs>
          <w:tab w:val="left" w:pos="7380"/>
        </w:tabs>
        <w:kinsoku/>
        <w:wordWrap/>
        <w:overflowPunct/>
        <w:topLinePunct w:val="0"/>
        <w:autoSpaceDE w:val="0"/>
        <w:autoSpaceDN w:val="0"/>
        <w:bidi w:val="0"/>
        <w:adjustRightInd w:val="0"/>
        <w:snapToGrid w:val="0"/>
        <w:spacing w:line="560" w:lineRule="exact"/>
        <w:ind w:left="0" w:leftChars="0" w:right="0" w:rightChars="0" w:firstLine="482" w:firstLineChars="1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kern w:val="2"/>
          <w:sz w:val="32"/>
          <w:szCs w:val="32"/>
          <w:highlight w:val="none"/>
          <w:lang w:val="en-US" w:eastAsia="zh-CN" w:bidi="ar-SA"/>
        </w:rPr>
        <w:t>（6）聚焦产业扶贫，增强可持续脱贫致富能力。</w:t>
      </w:r>
      <w:r>
        <w:rPr>
          <w:rFonts w:hint="eastAsia" w:ascii="仿宋_GB2312" w:hAnsi="仿宋_GB2312" w:eastAsia="仿宋_GB2312" w:cs="仿宋_GB2312"/>
          <w:color w:val="auto"/>
          <w:sz w:val="32"/>
          <w:szCs w:val="32"/>
          <w:highlight w:val="none"/>
          <w:lang w:val="en-US" w:eastAsia="zh-CN"/>
        </w:rPr>
        <w:t>2020年，我校下拨了扶贫工作专项经费50万元用于发展定点帮扶村产业，通过查阅各村的汇报资料，召开座谈会，实地调研等方式对我校定点帮扶的6个贫困村特色产业发展等情况进行督战。扎实推进产业扶贫，支持指导定点扶贫村建设了10个种养殖厂；帮扶贫困群众发展种桑养蚕产业、养蜂产业和油茶种植、中草药种植产业，建设完成了200亩油茶种植示范基地，发展支持和指导组建了2个种养专业合作社。</w:t>
      </w:r>
    </w:p>
    <w:p>
      <w:pPr>
        <w:pageBreakBefore w:val="0"/>
        <w:tabs>
          <w:tab w:val="left" w:pos="7380"/>
        </w:tabs>
        <w:kinsoku/>
        <w:wordWrap/>
        <w:overflowPunct/>
        <w:topLinePunct w:val="0"/>
        <w:autoSpaceDE w:val="0"/>
        <w:autoSpaceDN w:val="0"/>
        <w:bidi w:val="0"/>
        <w:adjustRightInd w:val="0"/>
        <w:snapToGrid w:val="0"/>
        <w:spacing w:line="560" w:lineRule="exact"/>
        <w:ind w:left="0" w:leftChars="0" w:right="0" w:rightChars="0" w:firstLine="482" w:firstLineChars="1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kern w:val="2"/>
          <w:sz w:val="32"/>
          <w:szCs w:val="32"/>
          <w:highlight w:val="none"/>
          <w:lang w:val="en-US" w:eastAsia="zh-CN" w:bidi="ar-SA"/>
        </w:rPr>
        <w:t>（7）发挥给排水专业技术资源优势，实施饮水安全提升工程。</w:t>
      </w:r>
      <w:r>
        <w:rPr>
          <w:rFonts w:hint="eastAsia" w:ascii="仿宋_GB2312" w:hAnsi="仿宋_GB2312" w:eastAsia="仿宋_GB2312" w:cs="仿宋_GB2312"/>
          <w:color w:val="auto"/>
          <w:sz w:val="32"/>
          <w:szCs w:val="32"/>
          <w:highlight w:val="none"/>
          <w:lang w:val="en-US" w:eastAsia="zh-CN"/>
        </w:rPr>
        <w:t>学校充分发挥给排水专业技术资源优势，努力解决饮水安全问题，实施饮用水净化项目，改善乡村生产生活条件。我校建筑设备与环境工程党总支利用给排水专业技术优势，积极为都安县尚三村、群乐村、加范村等帮扶村实施饮用水净化项目，解决群众的饮水安全问题。学校师生组成扶贫志愿者团队，发挥给排水专业特长，多次深入村屯进行饮用水水质勘察调研，并围绕水质提升开展应用技术研发，为1400余名村民解决饮水安全问题。</w:t>
      </w:r>
    </w:p>
    <w:p>
      <w:pPr>
        <w:pageBreakBefore w:val="0"/>
        <w:widowControl w:val="0"/>
        <w:tabs>
          <w:tab w:val="left" w:pos="7380"/>
        </w:tabs>
        <w:kinsoku/>
        <w:wordWrap/>
        <w:overflowPunct/>
        <w:topLinePunct w:val="0"/>
        <w:autoSpaceDE/>
        <w:autoSpaceDN/>
        <w:bidi w:val="0"/>
        <w:adjustRightInd/>
        <w:snapToGrid/>
        <w:spacing w:line="560" w:lineRule="exact"/>
        <w:ind w:left="0" w:leftChars="0" w:right="0" w:rightChars="0" w:firstLine="482" w:firstLineChars="15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kern w:val="2"/>
          <w:sz w:val="32"/>
          <w:szCs w:val="32"/>
          <w:highlight w:val="none"/>
          <w:lang w:val="en-US" w:eastAsia="zh-CN" w:bidi="ar-SA"/>
        </w:rPr>
        <w:t>（8）持续开展扶贫领域腐败和作风问题专项治理。</w:t>
      </w:r>
      <w:r>
        <w:rPr>
          <w:rFonts w:hint="eastAsia" w:ascii="仿宋_GB2312" w:hAnsi="仿宋_GB2312" w:eastAsia="仿宋_GB2312" w:cs="仿宋_GB2312"/>
          <w:color w:val="auto"/>
          <w:sz w:val="32"/>
          <w:szCs w:val="32"/>
          <w:highlight w:val="none"/>
          <w:lang w:val="en-US" w:eastAsia="zh-CN"/>
        </w:rPr>
        <w:t>深入贯彻全国扶贫领域监督执纪问责工作电视电话会议精神及上级有关规定，印发并实施《广西建设职业技术学院2020年深化扶贫领域腐败和作风问题专项治理工作监督方案》，深入定点帮扶贫困村开展扶贫领域腐败和作风问题专项督查。加强筑牢扶贫干部思想防线，持续深化扶贫领域腐败和作风问题专项治理，为脱贫攻坚工作提供纪律保障。</w:t>
      </w:r>
    </w:p>
    <w:p>
      <w:pPr>
        <w:pStyle w:val="12"/>
        <w:pageBreakBefore w:val="0"/>
        <w:widowControl w:val="0"/>
        <w:kinsoku/>
        <w:wordWrap/>
        <w:overflowPunct/>
        <w:topLinePunct w:val="0"/>
        <w:bidi w:val="0"/>
        <w:spacing w:before="0" w:beforeAutospacing="0" w:after="0" w:afterAutospacing="0" w:line="560" w:lineRule="exact"/>
        <w:ind w:right="0" w:rightChars="0" w:firstLine="482" w:firstLineChars="15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（9）扎实开展2020年扶贫日活动。</w:t>
      </w:r>
      <w:r>
        <w:rPr>
          <w:rFonts w:hint="eastAsia" w:ascii="仿宋_GB2312" w:hAnsi="仿宋_GB2312" w:eastAsia="仿宋_GB2312" w:cs="仿宋_GB2312"/>
          <w:color w:val="auto"/>
          <w:kern w:val="2"/>
          <w:sz w:val="32"/>
          <w:szCs w:val="32"/>
          <w:highlight w:val="none"/>
          <w:lang w:val="en-US" w:eastAsia="zh-CN" w:bidi="ar-SA"/>
        </w:rPr>
        <w:t>为推进2020年扶贫日活动，我校转发了《自治区扶贫开发领导小组关于印发广西2020年扶贫日活动方案的通知》，对各基层党组织提出了明确要求，认真组织开展2020年扶贫日各项活动。学校各级各部门结合实际开展了扶贫日集中宣传、自愿扶贫捐赠、消费扶贫等活动，深入调研走访定点帮扶村、帮扶贫困户，帮助解决贫困户生产、生活困难，补齐扶贫工作中短板和弱项，形成工作合力。</w:t>
      </w:r>
    </w:p>
    <w:p>
      <w:pPr>
        <w:pageBreakBefore w:val="0"/>
        <w:kinsoku/>
        <w:wordWrap/>
        <w:overflowPunct/>
        <w:topLinePunct w:val="0"/>
        <w:bidi w:val="0"/>
        <w:spacing w:line="560" w:lineRule="exact"/>
        <w:ind w:left="0" w:leftChars="0" w:right="0" w:rightChars="0" w:firstLine="321" w:firstLineChars="100"/>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b/>
          <w:bCs/>
          <w:color w:val="auto"/>
          <w:kern w:val="2"/>
          <w:sz w:val="32"/>
          <w:szCs w:val="32"/>
          <w:highlight w:val="none"/>
          <w:lang w:val="en-US" w:eastAsia="zh-CN" w:bidi="ar-SA"/>
        </w:rPr>
        <w:t>（10）聚焦脱贫成果，强化帮扶成效</w:t>
      </w:r>
      <w:r>
        <w:rPr>
          <w:rFonts w:hint="eastAsia" w:ascii="仿宋_GB2312" w:hAnsi="仿宋_GB2312" w:eastAsia="仿宋_GB2312" w:cs="仿宋_GB2312"/>
          <w:b/>
          <w:bCs/>
          <w:color w:val="auto"/>
          <w:kern w:val="0"/>
          <w:sz w:val="32"/>
          <w:szCs w:val="32"/>
        </w:rPr>
        <w:t>。</w:t>
      </w:r>
      <w:r>
        <w:rPr>
          <w:rFonts w:hint="eastAsia" w:ascii="仿宋_GB2312" w:hAnsi="仿宋_GB2312" w:eastAsia="仿宋_GB2312" w:cs="仿宋_GB2312"/>
          <w:color w:val="auto"/>
          <w:sz w:val="32"/>
          <w:szCs w:val="32"/>
          <w:highlight w:val="none"/>
          <w:lang w:val="en-US" w:eastAsia="zh-CN"/>
        </w:rPr>
        <w:t>我校始终把高质量脱贫、有序脱贫、实事求是、统筹兼顾四大原则贯穿于指导各定点帮扶贫困村年度减贫任务工作的始终。2020年,学校6个定点扶贫村已全部脱贫，6个村的贫困发生率全部清零。完善贫困村公共服务设施，增强群众的获得感。学校各基层党组织积极与驻村第一书记沟通，为村民办实事办好事。为加范村的便民码头的修建、道路的修缮和塌方路段疏通积极捐款，解决了村民出行不便的问题。通过召开动员会、发倡议书等方式，深入发动党员、干部、职工自愿参与扶贫捐款捐物活动。捐赠图书、电脑，支持贫困村教育事业发展；为贫困村修缮办公场所，改善办公环境；组织多场文体活动，丰富了群众业余生活，进一步增强了群众的获得感。</w:t>
      </w:r>
    </w:p>
    <w:p>
      <w:pPr>
        <w:pStyle w:val="4"/>
        <w:pageBreakBefore w:val="0"/>
        <w:widowControl w:val="0"/>
        <w:kinsoku/>
        <w:wordWrap/>
        <w:overflowPunct/>
        <w:topLinePunct w:val="0"/>
        <w:autoSpaceDE/>
        <w:autoSpaceDN/>
        <w:bidi w:val="0"/>
        <w:adjustRightInd/>
        <w:snapToGrid/>
        <w:spacing w:line="0" w:lineRule="atLeast"/>
        <w:ind w:left="0" w:leftChars="0" w:firstLine="321" w:firstLineChars="100"/>
        <w:textAlignment w:val="auto"/>
        <w:rPr>
          <w:rFonts w:hint="eastAsia"/>
          <w:lang w:eastAsia="zh-CN"/>
        </w:rPr>
      </w:pPr>
      <w:bookmarkStart w:id="128" w:name="_Toc6415"/>
      <w:r>
        <w:rPr>
          <w:rFonts w:hint="eastAsia"/>
          <w:lang w:eastAsia="zh-CN"/>
        </w:rPr>
        <w:t>（二）服务地区情况</w:t>
      </w:r>
      <w:bookmarkEnd w:id="128"/>
    </w:p>
    <w:p>
      <w:pPr>
        <w:pStyle w:val="5"/>
        <w:pageBreakBefore w:val="0"/>
        <w:widowControl w:val="0"/>
        <w:kinsoku/>
        <w:wordWrap/>
        <w:overflowPunct/>
        <w:topLinePunct w:val="0"/>
        <w:autoSpaceDE/>
        <w:autoSpaceDN/>
        <w:bidi w:val="0"/>
        <w:adjustRightInd/>
        <w:snapToGrid/>
        <w:spacing w:line="0" w:lineRule="atLeast"/>
        <w:textAlignment w:val="auto"/>
        <w:rPr>
          <w:rFonts w:hint="eastAsia"/>
        </w:rPr>
      </w:pPr>
      <w:bookmarkStart w:id="129" w:name="_Toc17913"/>
      <w:bookmarkStart w:id="130" w:name="_Toc1221_WPSOffice_Level2"/>
      <w:r>
        <w:rPr>
          <w:rFonts w:hint="default"/>
        </w:rPr>
        <w:t>1</w:t>
      </w:r>
      <w:r>
        <w:rPr>
          <w:rFonts w:hint="eastAsia"/>
          <w:lang w:val="en-US" w:eastAsia="zh-Hans"/>
        </w:rPr>
        <w:t>.毕业生就业情况</w:t>
      </w:r>
      <w:bookmarkEnd w:id="129"/>
    </w:p>
    <w:p>
      <w:pPr>
        <w:pageBreakBefore w:val="0"/>
        <w:widowControl w:val="0"/>
        <w:kinsoku/>
        <w:wordWrap/>
        <w:overflowPunct/>
        <w:topLinePunct w:val="0"/>
        <w:autoSpaceDE/>
        <w:autoSpaceDN/>
        <w:bidi w:val="0"/>
        <w:adjustRightInd/>
        <w:snapToGrid/>
        <w:spacing w:line="0" w:lineRule="atLeast"/>
        <w:ind w:left="0" w:leftChars="0" w:right="0" w:rightChars="0" w:firstLine="482" w:firstLineChars="150"/>
        <w:textAlignment w:val="auto"/>
        <w:rPr>
          <w:rFonts w:hint="eastAsia" w:ascii="仿宋_GB2312" w:hAnsi="仿宋_GB2312" w:eastAsia="仿宋_GB2312" w:cs="仿宋_GB2312"/>
          <w:b/>
          <w:bCs/>
          <w:sz w:val="32"/>
          <w:szCs w:val="32"/>
        </w:rPr>
      </w:pPr>
      <w:r>
        <w:rPr>
          <w:rFonts w:hint="default" w:ascii="仿宋_GB2312" w:hAnsi="仿宋_GB2312" w:cs="仿宋_GB2312"/>
          <w:b/>
          <w:bCs/>
          <w:sz w:val="32"/>
          <w:szCs w:val="32"/>
        </w:rPr>
        <w:t>（</w:t>
      </w:r>
      <w:r>
        <w:rPr>
          <w:rFonts w:hint="eastAsia" w:ascii="仿宋_GB2312" w:hAnsi="仿宋_GB2312" w:eastAsia="仿宋_GB2312" w:cs="仿宋_GB2312"/>
          <w:b/>
          <w:bCs/>
          <w:sz w:val="32"/>
          <w:szCs w:val="32"/>
        </w:rPr>
        <w:t>1</w:t>
      </w:r>
      <w:r>
        <w:rPr>
          <w:rFonts w:hint="default" w:ascii="仿宋_GB2312" w:hAnsi="仿宋_GB2312" w:cs="仿宋_GB2312"/>
          <w:b/>
          <w:bCs/>
          <w:sz w:val="32"/>
          <w:szCs w:val="32"/>
        </w:rPr>
        <w:t>）</w:t>
      </w:r>
      <w:r>
        <w:rPr>
          <w:rFonts w:hint="eastAsia" w:ascii="仿宋_GB2312" w:hAnsi="仿宋_GB2312" w:eastAsia="仿宋_GB2312" w:cs="仿宋_GB2312"/>
          <w:b/>
          <w:bCs/>
          <w:sz w:val="32"/>
          <w:szCs w:val="32"/>
        </w:rPr>
        <w:t>就业地区分布</w:t>
      </w:r>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校2020届毕业生就业地区分布为：87.52%的毕业生服务广西，8.11%的毕业生服务珠三角地区，4.37%毕业生服务其它省份。我校毕业生成为了广西及国内各地区建设行业的生力军，为促进和推动地方经济的发展做出了应有的贡献。</w:t>
      </w:r>
    </w:p>
    <w:p>
      <w:pPr>
        <w:pStyle w:val="12"/>
        <w:pageBreakBefore w:val="0"/>
        <w:widowControl w:val="0"/>
        <w:kinsoku/>
        <w:wordWrap/>
        <w:overflowPunct/>
        <w:topLinePunct w:val="0"/>
        <w:bidi w:val="0"/>
        <w:adjustRightInd w:val="0"/>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区内就业分布：在广西区内就业的毕业生主要流向了南宁市（56.1%）、桂林市（6.7%）和柳州市（4.3%）。</w:t>
      </w:r>
    </w:p>
    <w:p>
      <w:pPr>
        <w:pageBreakBefore w:val="0"/>
        <w:kinsoku/>
        <w:wordWrap/>
        <w:overflowPunct/>
        <w:topLinePunct w:val="0"/>
        <w:bidi w:val="0"/>
        <w:spacing w:line="560" w:lineRule="exact"/>
        <w:ind w:left="0" w:leftChars="0" w:right="0" w:rightChars="0" w:firstLine="482" w:firstLineChars="150"/>
        <w:textAlignment w:val="auto"/>
        <w:rPr>
          <w:rFonts w:hint="eastAsia" w:ascii="仿宋_GB2312" w:hAnsi="仿宋_GB2312" w:eastAsia="仿宋_GB2312" w:cs="仿宋_GB2312"/>
          <w:b/>
          <w:bCs/>
          <w:sz w:val="32"/>
          <w:szCs w:val="32"/>
        </w:rPr>
      </w:pPr>
      <w:r>
        <w:rPr>
          <w:rFonts w:hint="default" w:ascii="仿宋_GB2312" w:hAnsi="仿宋_GB2312" w:cs="仿宋_GB2312"/>
          <w:b/>
          <w:bCs/>
          <w:sz w:val="32"/>
          <w:szCs w:val="32"/>
        </w:rPr>
        <w:t>（</w:t>
      </w:r>
      <w:r>
        <w:rPr>
          <w:rFonts w:hint="eastAsia" w:ascii="仿宋_GB2312" w:hAnsi="仿宋_GB2312" w:eastAsia="仿宋_GB2312" w:cs="仿宋_GB2312"/>
          <w:b/>
          <w:bCs/>
          <w:sz w:val="32"/>
          <w:szCs w:val="32"/>
        </w:rPr>
        <w:t>2</w:t>
      </w:r>
      <w:r>
        <w:rPr>
          <w:rFonts w:hint="default" w:ascii="仿宋_GB2312" w:hAnsi="仿宋_GB2312" w:cs="仿宋_GB2312"/>
          <w:b/>
          <w:bCs/>
          <w:sz w:val="32"/>
          <w:szCs w:val="32"/>
        </w:rPr>
        <w:t>）</w:t>
      </w:r>
      <w:r>
        <w:rPr>
          <w:rFonts w:hint="eastAsia" w:ascii="仿宋_GB2312" w:hAnsi="仿宋_GB2312" w:eastAsia="仿宋_GB2312" w:cs="仿宋_GB2312"/>
          <w:b/>
          <w:bCs/>
          <w:sz w:val="32"/>
          <w:szCs w:val="32"/>
        </w:rPr>
        <w:t>就业单位性质分析</w:t>
      </w:r>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私营企业成为毕业生就业主渠道。我校有2864名毕业生选择进入私营企业、三资企业等非国有企业，占就业总人数的56.09%。这一方面因为我国城镇就业总规模的大部分岗位由中小企业提供。另一方面也说明我校毕业生的就业观念的转变，已开始将目光投向更具活力的民营企业、三资企业。</w:t>
      </w:r>
      <w:bookmarkEnd w:id="130"/>
    </w:p>
    <w:p>
      <w:pPr>
        <w:pageBreakBefore w:val="0"/>
        <w:numPr>
          <w:ilvl w:val="0"/>
          <w:numId w:val="0"/>
        </w:numPr>
        <w:kinsoku/>
        <w:wordWrap/>
        <w:overflowPunct/>
        <w:topLinePunct w:val="0"/>
        <w:autoSpaceDE w:val="0"/>
        <w:autoSpaceDN w:val="0"/>
        <w:bidi w:val="0"/>
        <w:adjustRightInd w:val="0"/>
        <w:spacing w:line="560" w:lineRule="exact"/>
        <w:ind w:right="0" w:rightChars="0" w:firstLine="482" w:firstLineChars="150"/>
        <w:jc w:val="left"/>
        <w:textAlignment w:val="auto"/>
        <w:rPr>
          <w:rFonts w:hint="eastAsia" w:ascii="仿宋_GB2312" w:hAnsi="仿宋_GB2312" w:eastAsia="仿宋_GB2312" w:cs="仿宋_GB2312"/>
          <w:b/>
          <w:bCs/>
          <w:sz w:val="32"/>
          <w:szCs w:val="32"/>
        </w:rPr>
      </w:pPr>
      <w:r>
        <w:rPr>
          <w:rFonts w:hint="default" w:ascii="仿宋_GB2312" w:hAnsi="仿宋_GB2312" w:cs="仿宋_GB2312"/>
          <w:b/>
          <w:bCs/>
          <w:sz w:val="32"/>
          <w:szCs w:val="32"/>
        </w:rPr>
        <w:t>（3）</w:t>
      </w:r>
      <w:r>
        <w:rPr>
          <w:rFonts w:hint="eastAsia" w:ascii="仿宋_GB2312" w:hAnsi="仿宋_GB2312" w:eastAsia="仿宋_GB2312" w:cs="仿宋_GB2312"/>
          <w:b/>
          <w:bCs/>
          <w:sz w:val="32"/>
          <w:szCs w:val="32"/>
        </w:rPr>
        <w:t>校企合作进一步加强，服务行业能力进一步提升</w:t>
      </w:r>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sz w:val="32"/>
          <w:szCs w:val="32"/>
        </w:rPr>
        <w:t>我校采取灵活多样的校企合作形式，进一步加强与行业企业的产学合作，增强学校服务企业、服务社会的能力。扎实践行校企“七个共同”，即校企双方共同研究专业设置、共同设计人才培养方案、共同开发课程、共同开发教材、共同组建教学团队、共同建设实训实习平台、共同制定人才培养质量标准。与企业共同合作完成多项工法的编制，实现生产育人和服务社会，产生了良好的社会影响力。充分发挥教师研究、指导、咨询、服务优势，拓展社会服务面，开展服务广西工业化、城镇化和社会主义新农村建设。</w:t>
      </w:r>
    </w:p>
    <w:p>
      <w:pPr>
        <w:pStyle w:val="5"/>
        <w:bidi w:val="0"/>
        <w:rPr>
          <w:rFonts w:hint="eastAsia" w:ascii="仿宋_GB2312" w:hAnsi="仿宋_GB2312" w:eastAsia="仿宋_GB2312" w:cs="仿宋_GB2312"/>
          <w:lang w:val="en-US" w:eastAsia="zh-CN"/>
        </w:rPr>
      </w:pPr>
      <w:bookmarkStart w:id="131" w:name="_Toc1243"/>
      <w:r>
        <w:rPr>
          <w:rFonts w:hint="eastAsia" w:ascii="仿宋_GB2312" w:hAnsi="仿宋_GB2312" w:eastAsia="仿宋_GB2312" w:cs="仿宋_GB2312"/>
          <w:lang w:val="en-US" w:eastAsia="zh-CN"/>
        </w:rPr>
        <w:t>2.非学历教育与培训</w:t>
      </w:r>
      <w:bookmarkEnd w:id="131"/>
    </w:p>
    <w:p>
      <w:pPr>
        <w:pageBreakBefore w:val="0"/>
        <w:kinsoku/>
        <w:wordWrap/>
        <w:overflowPunct/>
        <w:topLinePunct w:val="0"/>
        <w:bidi w:val="0"/>
        <w:spacing w:line="56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-2020学年，我校举办非学历项目培训9项，开设培训班37期，培训学员14000余人次。获批广西第一批住房和城乡建设领域施工现场专业人员职业培训试点机构。建设领域施工现场专业人员职业培训规模位列全区第一</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积极响应国家号召，首次面向退役军人开展就业创业技能培训。</w:t>
      </w:r>
      <w:r>
        <w:rPr>
          <w:rFonts w:hint="eastAsia" w:ascii="仿宋_GB2312" w:hAnsi="仿宋_GB2312" w:eastAsia="仿宋_GB2312" w:cs="仿宋_GB2312"/>
          <w:color w:val="000000" w:themeColor="text1"/>
          <w:sz w:val="32"/>
          <w:szCs w:val="32"/>
          <w14:textFill>
            <w14:solidFill>
              <w14:schemeClr w14:val="tx1"/>
            </w14:solidFill>
          </w14:textFill>
        </w:rPr>
        <w:t>校企合作开创新局面，</w:t>
      </w:r>
      <w:r>
        <w:rPr>
          <w:rFonts w:hint="eastAsia" w:ascii="仿宋_GB2312" w:hAnsi="仿宋_GB2312" w:eastAsia="仿宋_GB2312" w:cs="仿宋_GB2312"/>
          <w:sz w:val="32"/>
          <w:szCs w:val="32"/>
        </w:rPr>
        <w:t>特种作业人员岗位培训创历史新高。</w:t>
      </w:r>
    </w:p>
    <w:p>
      <w:pPr>
        <w:pageBreakBefore w:val="0"/>
        <w:kinsoku/>
        <w:wordWrap/>
        <w:overflowPunct/>
        <w:topLinePunct w:val="0"/>
        <w:bidi w:val="0"/>
        <w:spacing w:line="560" w:lineRule="exact"/>
        <w:ind w:left="0" w:leftChars="0" w:right="0" w:rightChars="0"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 </w:t>
      </w:r>
      <w:r>
        <w:rPr>
          <w:rFonts w:hint="default" w:ascii="仿宋_GB2312" w:hAnsi="仿宋_GB2312" w:cs="仿宋_GB2312"/>
          <w:b/>
          <w:bCs/>
          <w:sz w:val="32"/>
          <w:szCs w:val="32"/>
        </w:rPr>
        <w:t xml:space="preserve"> （</w:t>
      </w:r>
      <w:r>
        <w:rPr>
          <w:rFonts w:hint="eastAsia" w:ascii="仿宋_GB2312" w:hAnsi="仿宋_GB2312" w:eastAsia="仿宋_GB2312" w:cs="仿宋_GB2312"/>
          <w:b/>
          <w:bCs/>
          <w:sz w:val="32"/>
          <w:szCs w:val="32"/>
        </w:rPr>
        <w:t>1</w:t>
      </w:r>
      <w:r>
        <w:rPr>
          <w:rFonts w:hint="default" w:ascii="仿宋_GB2312" w:hAnsi="仿宋_GB2312" w:cs="仿宋_GB2312"/>
          <w:b/>
          <w:bCs/>
          <w:sz w:val="32"/>
          <w:szCs w:val="32"/>
        </w:rPr>
        <w:t>）</w:t>
      </w:r>
      <w:r>
        <w:rPr>
          <w:rFonts w:hint="eastAsia" w:ascii="仿宋_GB2312" w:hAnsi="仿宋_GB2312" w:eastAsia="仿宋_GB2312" w:cs="仿宋_GB2312"/>
          <w:b/>
          <w:bCs/>
          <w:sz w:val="32"/>
          <w:szCs w:val="32"/>
        </w:rPr>
        <w:t>施工现场专业技术人员职业</w:t>
      </w:r>
      <w:r>
        <w:rPr>
          <w:rFonts w:hint="eastAsia" w:ascii="仿宋_GB2312" w:hAnsi="仿宋_GB2312" w:eastAsia="仿宋_GB2312" w:cs="仿宋_GB2312"/>
          <w:b/>
          <w:sz w:val="32"/>
          <w:szCs w:val="32"/>
        </w:rPr>
        <w:t>培训规模位列全区第一</w:t>
      </w:r>
    </w:p>
    <w:p>
      <w:pPr>
        <w:pageBreakBefore w:val="0"/>
        <w:kinsoku/>
        <w:wordWrap/>
        <w:overflowPunct/>
        <w:topLinePunct w:val="0"/>
        <w:bidi w:val="0"/>
        <w:spacing w:line="560" w:lineRule="exact"/>
        <w:ind w:left="0" w:leftChars="0" w:right="0" w:rightChars="0" w:firstLine="480" w:firstLineChars="15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积极落实住建部、自治区住房和城乡建设厅文件精神，</w:t>
      </w:r>
      <w:r>
        <w:rPr>
          <w:rFonts w:hint="eastAsia" w:ascii="仿宋_GB2312" w:hAnsi="仿宋_GB2312" w:eastAsia="仿宋_GB2312" w:cs="仿宋_GB2312"/>
          <w:sz w:val="32"/>
          <w:szCs w:val="32"/>
        </w:rPr>
        <w:t>开展第一批住房和城乡建设领域施工现场专业人员职业培训试点工作，</w:t>
      </w:r>
      <w:r>
        <w:rPr>
          <w:rFonts w:hint="eastAsia" w:ascii="仿宋_GB2312" w:hAnsi="仿宋_GB2312" w:eastAsia="仿宋_GB2312" w:cs="仿宋_GB2312"/>
          <w:color w:val="000000" w:themeColor="text1"/>
          <w:sz w:val="32"/>
          <w:szCs w:val="32"/>
          <w14:textFill>
            <w14:solidFill>
              <w14:schemeClr w14:val="tx1"/>
            </w14:solidFill>
          </w14:textFill>
        </w:rPr>
        <w:t>开展了37土建施工员、装饰装修施工员、设备安装施工员等15个岗位的职业培训，共培训学员超过5712人次，接近全区总规模50%，</w:t>
      </w:r>
      <w:r>
        <w:rPr>
          <w:rFonts w:hint="eastAsia" w:ascii="仿宋_GB2312" w:hAnsi="仿宋_GB2312" w:eastAsia="仿宋_GB2312" w:cs="仿宋_GB2312"/>
          <w:sz w:val="32"/>
          <w:szCs w:val="32"/>
        </w:rPr>
        <w:t>培训测试规模位列全区第一</w:t>
      </w:r>
      <w:r>
        <w:rPr>
          <w:rFonts w:hint="eastAsia" w:ascii="仿宋_GB2312" w:hAnsi="仿宋_GB2312" w:eastAsia="仿宋_GB2312" w:cs="仿宋_GB2312"/>
          <w:color w:val="000000" w:themeColor="text1"/>
          <w:sz w:val="32"/>
          <w:szCs w:val="32"/>
          <w14:textFill>
            <w14:solidFill>
              <w14:schemeClr w14:val="tx1"/>
            </w14:solidFill>
          </w14:textFill>
        </w:rPr>
        <w:t>。为广西电力职业技术学院、广西机电职业技术学院、广西交通职业技术学院等区内8所兄弟院校的在校生开展了现场专业人员职业培训测试。</w:t>
      </w:r>
    </w:p>
    <w:p>
      <w:pPr>
        <w:pageBreakBefore w:val="0"/>
        <w:kinsoku/>
        <w:wordWrap/>
        <w:overflowPunct/>
        <w:topLinePunct w:val="0"/>
        <w:bidi w:val="0"/>
        <w:spacing w:line="560" w:lineRule="exact"/>
        <w:ind w:left="0" w:leftChars="0" w:right="0" w:rightChars="0" w:firstLine="482" w:firstLineChars="150"/>
        <w:textAlignment w:val="auto"/>
        <w:rPr>
          <w:rFonts w:hint="eastAsia" w:ascii="仿宋_GB2312" w:hAnsi="仿宋_GB2312" w:eastAsia="仿宋_GB2312" w:cs="仿宋_GB2312"/>
          <w:b/>
          <w:bCs/>
          <w:sz w:val="32"/>
          <w:szCs w:val="32"/>
        </w:rPr>
      </w:pPr>
      <w:r>
        <w:rPr>
          <w:rFonts w:hint="default" w:ascii="仿宋_GB2312" w:hAnsi="仿宋_GB2312" w:cs="仿宋_GB2312"/>
          <w:b/>
          <w:bCs/>
          <w:sz w:val="32"/>
          <w:szCs w:val="32"/>
        </w:rPr>
        <w:t>（</w:t>
      </w:r>
      <w:r>
        <w:rPr>
          <w:rFonts w:hint="eastAsia" w:ascii="仿宋_GB2312" w:hAnsi="仿宋_GB2312" w:eastAsia="仿宋_GB2312" w:cs="仿宋_GB2312"/>
          <w:b/>
          <w:bCs/>
          <w:sz w:val="32"/>
          <w:szCs w:val="32"/>
        </w:rPr>
        <w:t>2</w:t>
      </w:r>
      <w:r>
        <w:rPr>
          <w:rFonts w:hint="default" w:ascii="仿宋_GB2312" w:hAnsi="仿宋_GB2312" w:cs="仿宋_GB2312"/>
          <w:b/>
          <w:bCs/>
          <w:sz w:val="32"/>
          <w:szCs w:val="32"/>
        </w:rPr>
        <w:t>）</w:t>
      </w:r>
      <w:r>
        <w:rPr>
          <w:rFonts w:hint="eastAsia" w:ascii="仿宋_GB2312" w:hAnsi="仿宋_GB2312" w:eastAsia="仿宋_GB2312" w:cs="仿宋_GB2312"/>
          <w:b/>
          <w:bCs/>
          <w:sz w:val="32"/>
          <w:szCs w:val="32"/>
        </w:rPr>
        <w:t>积极拓展培训领域，社会服务能力提升</w:t>
      </w:r>
    </w:p>
    <w:p>
      <w:pPr>
        <w:pageBreakBefore w:val="0"/>
        <w:kinsoku/>
        <w:wordWrap/>
        <w:overflowPunct/>
        <w:topLinePunct w:val="0"/>
        <w:bidi w:val="0"/>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2019-2020学年，建筑产业工人培训考核998人。获批广西第一批住房和城乡建设领域施工现场专业人员职业培训试点机构，开展15个岗位职业培训测试培训学员</w:t>
      </w:r>
      <w:r>
        <w:rPr>
          <w:rFonts w:hint="eastAsia" w:ascii="仿宋_GB2312" w:hAnsi="仿宋_GB2312" w:eastAsia="仿宋_GB2312" w:cs="仿宋_GB2312"/>
          <w:color w:val="000000" w:themeColor="text1"/>
          <w:sz w:val="32"/>
          <w:szCs w:val="32"/>
          <w14:textFill>
            <w14:solidFill>
              <w14:schemeClr w14:val="tx1"/>
            </w14:solidFill>
          </w14:textFill>
        </w:rPr>
        <w:t>5712人次</w:t>
      </w:r>
      <w:r>
        <w:rPr>
          <w:rFonts w:hint="eastAsia" w:ascii="仿宋_GB2312" w:hAnsi="仿宋_GB2312" w:eastAsia="仿宋_GB2312" w:cs="仿宋_GB2312"/>
          <w:sz w:val="32"/>
          <w:szCs w:val="32"/>
        </w:rPr>
        <w:t>。施工现场专业人员继续教育586人，特种作业人员继续教育895人次。积极响应国家号召，首次面向全区农民工、退役军人等重点人群开展就业创业技能培训，举办退役军人培训班1期，培训学员58人，并为参加就业创业培训合格学员提供就业岗位数达到就业人数的90%以上。组织开展全区预拌商品混凝土生产企业内设试验室检测人员能力水平提升培训培训1800余人次。</w:t>
      </w:r>
      <w:r>
        <w:rPr>
          <w:rFonts w:hint="eastAsia" w:ascii="仿宋_GB2312" w:hAnsi="仿宋_GB2312" w:eastAsia="仿宋_GB2312" w:cs="仿宋_GB2312"/>
          <w:color w:val="000000" w:themeColor="text1"/>
          <w:sz w:val="32"/>
          <w:szCs w:val="32"/>
          <w14:textFill>
            <w14:solidFill>
              <w14:schemeClr w14:val="tx1"/>
            </w14:solidFill>
          </w14:textFill>
        </w:rPr>
        <w:t>协办全区城市管理执法队伍技能大比武，全区14个地市1000余人参加了活动。</w:t>
      </w:r>
    </w:p>
    <w:p>
      <w:pPr>
        <w:pageBreakBefore w:val="0"/>
        <w:kinsoku/>
        <w:wordWrap/>
        <w:overflowPunct/>
        <w:topLinePunct w:val="0"/>
        <w:bidi w:val="0"/>
        <w:spacing w:line="560" w:lineRule="exact"/>
        <w:ind w:left="0" w:leftChars="0" w:right="0" w:rightChars="0" w:firstLine="482" w:firstLineChars="150"/>
        <w:textAlignment w:val="auto"/>
        <w:rPr>
          <w:rFonts w:hint="eastAsia" w:ascii="仿宋_GB2312" w:hAnsi="仿宋_GB2312" w:eastAsia="仿宋_GB2312" w:cs="仿宋_GB2312"/>
          <w:b/>
          <w:bCs/>
          <w:sz w:val="32"/>
          <w:szCs w:val="32"/>
        </w:rPr>
      </w:pPr>
      <w:r>
        <w:rPr>
          <w:rFonts w:hint="default" w:ascii="仿宋_GB2312" w:hAnsi="仿宋_GB2312" w:cs="仿宋_GB2312"/>
          <w:b/>
          <w:bCs/>
          <w:sz w:val="32"/>
          <w:szCs w:val="32"/>
        </w:rPr>
        <w:t>（</w:t>
      </w:r>
      <w:r>
        <w:rPr>
          <w:rFonts w:hint="eastAsia" w:ascii="仿宋_GB2312" w:hAnsi="仿宋_GB2312" w:eastAsia="仿宋_GB2312" w:cs="仿宋_GB2312"/>
          <w:b/>
          <w:bCs/>
          <w:sz w:val="32"/>
          <w:szCs w:val="32"/>
        </w:rPr>
        <w:t>3</w:t>
      </w:r>
      <w:r>
        <w:rPr>
          <w:rFonts w:hint="default" w:ascii="仿宋_GB2312" w:hAnsi="仿宋_GB2312" w:cs="仿宋_GB2312"/>
          <w:b/>
          <w:bCs/>
          <w:sz w:val="32"/>
          <w:szCs w:val="32"/>
        </w:rPr>
        <w:t>）</w:t>
      </w:r>
      <w:r>
        <w:rPr>
          <w:rFonts w:hint="eastAsia" w:ascii="仿宋_GB2312" w:hAnsi="仿宋_GB2312" w:eastAsia="仿宋_GB2312" w:cs="仿宋_GB2312"/>
          <w:b/>
          <w:bCs/>
          <w:sz w:val="32"/>
          <w:szCs w:val="32"/>
        </w:rPr>
        <w:t>校企合作校外培训开创新局面</w:t>
      </w:r>
    </w:p>
    <w:p>
      <w:pPr>
        <w:pageBreakBefore w:val="0"/>
        <w:kinsoku/>
        <w:wordWrap/>
        <w:overflowPunct/>
        <w:topLinePunct w:val="0"/>
        <w:bidi w:val="0"/>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广西腾安机械制造有限公司合作，成功举办全区建筑施工特种作业人员岗位培训16期，共培训学员3700余人，培训规模创历史新高。与玉林市建筑培训学校合作，在玉林市举办继续教育项目2项4期,共培训学员700多人。</w:t>
      </w:r>
    </w:p>
    <w:p>
      <w:pPr>
        <w:pageBreakBefore w:val="0"/>
        <w:kinsoku/>
        <w:wordWrap/>
        <w:overflowPunct/>
        <w:topLinePunct w:val="0"/>
        <w:bidi w:val="0"/>
        <w:spacing w:line="560" w:lineRule="exact"/>
        <w:ind w:left="0" w:leftChars="0" w:right="0" w:rightChars="0" w:firstLine="321" w:firstLineChars="100"/>
        <w:textAlignment w:val="auto"/>
        <w:rPr>
          <w:rFonts w:hint="eastAsia" w:ascii="仿宋_GB2312" w:hAnsi="仿宋_GB2312" w:eastAsia="仿宋_GB2312" w:cs="仿宋_GB2312"/>
          <w:b/>
          <w:bCs/>
          <w:sz w:val="32"/>
          <w:szCs w:val="32"/>
        </w:rPr>
      </w:pPr>
      <w:r>
        <w:rPr>
          <w:rFonts w:hint="default" w:ascii="仿宋_GB2312" w:hAnsi="仿宋_GB2312" w:cs="仿宋_GB2312"/>
          <w:b/>
          <w:bCs/>
          <w:sz w:val="32"/>
          <w:szCs w:val="32"/>
        </w:rPr>
        <w:t>（</w:t>
      </w:r>
      <w:r>
        <w:rPr>
          <w:rFonts w:hint="eastAsia" w:ascii="仿宋_GB2312" w:hAnsi="仿宋_GB2312" w:eastAsia="仿宋_GB2312" w:cs="仿宋_GB2312"/>
          <w:b/>
          <w:bCs/>
          <w:sz w:val="32"/>
          <w:szCs w:val="32"/>
        </w:rPr>
        <w:t>4</w:t>
      </w:r>
      <w:r>
        <w:rPr>
          <w:rFonts w:hint="default" w:ascii="仿宋_GB2312" w:hAnsi="仿宋_GB2312" w:cs="仿宋_GB2312"/>
          <w:b/>
          <w:bCs/>
          <w:sz w:val="32"/>
          <w:szCs w:val="32"/>
        </w:rPr>
        <w:t>）</w:t>
      </w:r>
      <w:r>
        <w:rPr>
          <w:rFonts w:hint="eastAsia" w:ascii="仿宋_GB2312" w:hAnsi="仿宋_GB2312" w:eastAsia="仿宋_GB2312" w:cs="仿宋_GB2312"/>
          <w:b/>
          <w:bCs/>
          <w:sz w:val="32"/>
          <w:szCs w:val="32"/>
        </w:rPr>
        <w:t>“互联网+”培训模式改革促进管理水平上新台阶</w:t>
      </w:r>
    </w:p>
    <w:p>
      <w:pPr>
        <w:pageBreakBefore w:val="0"/>
        <w:kinsoku/>
        <w:wordWrap/>
        <w:overflowPunct/>
        <w:topLinePunct w:val="0"/>
        <w:bidi w:val="0"/>
        <w:spacing w:line="560" w:lineRule="exact"/>
        <w:ind w:right="0" w:rightChars="0" w:firstLine="640" w:firstLineChars="200"/>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sz w:val="32"/>
          <w:szCs w:val="32"/>
        </w:rPr>
        <w:t>一是职业培训首次启动“刷脸”考勤，全面启用“云平台”系统监控。二考证类培训项目及继续教育全部实施“刷脸”考勤，“云平台”监控。三是现场专业人员继续教育、全区建筑施工企业三类人员及建设工程检测类等项目考试全部实现“云平台”监控与无纸化。 2019-2020学年，组织各项目无纸化考试14200余人，与传统考试相比提高效率，节约了成本。</w:t>
      </w:r>
    </w:p>
    <w:p>
      <w:pPr>
        <w:pStyle w:val="5"/>
        <w:bidi w:val="0"/>
        <w:rPr>
          <w:rFonts w:hint="eastAsia" w:ascii="仿宋_GB2312" w:hAnsi="仿宋_GB2312" w:eastAsia="仿宋_GB2312" w:cs="仿宋_GB2312"/>
          <w:lang w:val="en-US" w:eastAsia="zh-CN"/>
        </w:rPr>
      </w:pPr>
      <w:bookmarkStart w:id="132" w:name="_Toc29892"/>
      <w:r>
        <w:rPr>
          <w:rFonts w:hint="eastAsia" w:ascii="仿宋_GB2312" w:hAnsi="仿宋_GB2312" w:eastAsia="仿宋_GB2312" w:cs="仿宋_GB2312"/>
          <w:lang w:eastAsia="zh-CN"/>
        </w:rPr>
        <w:t>4</w:t>
      </w:r>
      <w:r>
        <w:rPr>
          <w:rFonts w:hint="eastAsia" w:ascii="仿宋_GB2312" w:hAnsi="仿宋_GB2312" w:eastAsia="仿宋_GB2312" w:cs="仿宋_GB2312"/>
          <w:lang w:val="en-US" w:eastAsia="zh-CN"/>
        </w:rPr>
        <w:t>.职业技能鉴定与资格认证</w:t>
      </w:r>
      <w:bookmarkEnd w:id="132"/>
    </w:p>
    <w:p>
      <w:pPr>
        <w:pageBreakBefore w:val="0"/>
        <w:kinsoku/>
        <w:wordWrap/>
        <w:overflowPunct/>
        <w:topLinePunct w:val="0"/>
        <w:bidi w:val="0"/>
        <w:spacing w:line="560" w:lineRule="exact"/>
        <w:ind w:right="0" w:righ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cs="仿宋_GB2312"/>
          <w:sz w:val="32"/>
          <w:szCs w:val="32"/>
          <w:lang w:val="en-US" w:eastAsia="zh-Hans"/>
        </w:rPr>
        <w:t>一是</w:t>
      </w:r>
      <w:r>
        <w:rPr>
          <w:rFonts w:hint="eastAsia" w:ascii="仿宋_GB2312" w:hAnsi="仿宋_GB2312" w:eastAsia="仿宋_GB2312" w:cs="仿宋_GB2312"/>
          <w:sz w:val="32"/>
          <w:szCs w:val="32"/>
        </w:rPr>
        <w:t>开展第一批住房和城乡建设领域施工现场专业人员职业培训试点工作，</w:t>
      </w:r>
      <w:r>
        <w:rPr>
          <w:rFonts w:hint="eastAsia" w:ascii="仿宋_GB2312" w:hAnsi="仿宋_GB2312" w:eastAsia="仿宋_GB2312" w:cs="仿宋_GB2312"/>
          <w:color w:val="000000" w:themeColor="text1"/>
          <w:sz w:val="32"/>
          <w:szCs w:val="32"/>
          <w14:textFill>
            <w14:solidFill>
              <w14:schemeClr w14:val="tx1"/>
            </w14:solidFill>
          </w14:textFill>
        </w:rPr>
        <w:t>开展了土建施工员、装饰装修施工员、设备安装施工员等15个岗位的职业培训，参加测试学员5712人，其中3083人取得合格证书，合格率53.9%位列全区22家试点机构前列。</w:t>
      </w:r>
    </w:p>
    <w:p>
      <w:pPr>
        <w:pageBreakBefore w:val="0"/>
        <w:kinsoku/>
        <w:wordWrap/>
        <w:overflowPunct/>
        <w:topLinePunct w:val="0"/>
        <w:bidi w:val="0"/>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color w:val="000000" w:themeColor="text1"/>
          <w:sz w:val="32"/>
          <w:szCs w:val="32"/>
          <w:lang w:val="en-US" w:eastAsia="zh-Hans"/>
          <w14:textFill>
            <w14:solidFill>
              <w14:schemeClr w14:val="tx1"/>
            </w14:solidFill>
          </w14:textFill>
        </w:rPr>
        <w:t>二是</w:t>
      </w:r>
      <w:r>
        <w:rPr>
          <w:rFonts w:hint="eastAsia" w:ascii="仿宋_GB2312" w:hAnsi="仿宋_GB2312" w:eastAsia="仿宋_GB2312" w:cs="仿宋_GB2312"/>
          <w:color w:val="000000" w:themeColor="text1"/>
          <w:sz w:val="32"/>
          <w:szCs w:val="32"/>
          <w14:textFill>
            <w14:solidFill>
              <w14:schemeClr w14:val="tx1"/>
            </w14:solidFill>
          </w14:textFill>
        </w:rPr>
        <w:t>开展</w:t>
      </w:r>
      <w:r>
        <w:rPr>
          <w:rFonts w:hint="eastAsia" w:ascii="仿宋_GB2312" w:hAnsi="仿宋_GB2312" w:eastAsia="仿宋_GB2312" w:cs="仿宋_GB2312"/>
          <w:sz w:val="32"/>
          <w:szCs w:val="32"/>
        </w:rPr>
        <w:t>建筑产业工人培训考核998人次，其中953人取得住建和城乡建设行业技能人员职业培训合格证书。通过本次培训，取得该职业合格证书为学员提供了更高质量、更多、更广的就业机会。</w:t>
      </w:r>
    </w:p>
    <w:p>
      <w:pPr>
        <w:pageBreakBefore w:val="0"/>
        <w:kinsoku/>
        <w:wordWrap/>
        <w:overflowPunct/>
        <w:topLinePunct w:val="0"/>
        <w:bidi w:val="0"/>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Hans"/>
        </w:rPr>
        <w:t>三是</w:t>
      </w:r>
      <w:r>
        <w:rPr>
          <w:rFonts w:hint="eastAsia" w:ascii="仿宋_GB2312" w:hAnsi="仿宋_GB2312" w:eastAsia="仿宋_GB2312" w:cs="仿宋_GB2312"/>
          <w:sz w:val="32"/>
          <w:szCs w:val="32"/>
        </w:rPr>
        <w:t>与广西城镇供水排水协会合作开展供水行业专项职业能力培训，开办净水工与水质检验工，共培训学员200余人。</w:t>
      </w:r>
    </w:p>
    <w:p>
      <w:pPr>
        <w:pageBreakBefore w:val="0"/>
        <w:kinsoku/>
        <w:wordWrap/>
        <w:overflowPunct/>
        <w:topLinePunct w:val="0"/>
        <w:bidi w:val="0"/>
        <w:spacing w:line="560" w:lineRule="exact"/>
        <w:ind w:right="0" w:rightChars="0" w:firstLine="640" w:firstLineChars="200"/>
        <w:textAlignment w:val="auto"/>
        <w:rPr>
          <w:rFonts w:hint="eastAsia" w:ascii="仿宋_GB2312" w:hAnsi="仿宋_GB2312" w:eastAsia="仿宋_GB2312" w:cs="仿宋_GB2312"/>
          <w:color w:val="auto"/>
          <w:kern w:val="2"/>
          <w:sz w:val="32"/>
          <w:szCs w:val="32"/>
          <w:lang w:val="en-US" w:eastAsia="zh-CN"/>
        </w:rPr>
      </w:pPr>
      <w:r>
        <w:rPr>
          <w:rFonts w:hint="eastAsia" w:ascii="仿宋_GB2312" w:hAnsi="仿宋_GB2312" w:cs="仿宋_GB2312"/>
          <w:sz w:val="32"/>
          <w:szCs w:val="32"/>
          <w:lang w:val="en-US" w:eastAsia="zh-Hans"/>
        </w:rPr>
        <w:t>四是</w:t>
      </w:r>
      <w:r>
        <w:rPr>
          <w:rFonts w:hint="eastAsia" w:ascii="仿宋_GB2312" w:hAnsi="仿宋_GB2312" w:eastAsia="仿宋_GB2312" w:cs="仿宋_GB2312"/>
          <w:sz w:val="32"/>
          <w:szCs w:val="32"/>
        </w:rPr>
        <w:t>与广西城市建设协会合作开展燃气行业燃气用具安装检修专项职业能力，共培训学员300余人。</w:t>
      </w:r>
    </w:p>
    <w:p>
      <w:pPr>
        <w:pStyle w:val="5"/>
        <w:bidi w:val="0"/>
        <w:rPr>
          <w:rFonts w:hint="eastAsia" w:ascii="仿宋_GB2312" w:hAnsi="仿宋_GB2312" w:eastAsia="仿宋_GB2312" w:cs="仿宋_GB2312"/>
          <w:lang w:val="en-US" w:eastAsia="zh-CN"/>
        </w:rPr>
      </w:pPr>
      <w:bookmarkStart w:id="133" w:name="_Toc26381"/>
      <w:r>
        <w:rPr>
          <w:rFonts w:hint="eastAsia" w:ascii="仿宋_GB2312" w:hAnsi="仿宋_GB2312" w:eastAsia="仿宋_GB2312" w:cs="仿宋_GB2312"/>
          <w:lang w:eastAsia="zh-CN"/>
        </w:rPr>
        <w:t>5</w:t>
      </w:r>
      <w:r>
        <w:rPr>
          <w:rFonts w:hint="eastAsia" w:ascii="仿宋_GB2312" w:hAnsi="仿宋_GB2312" w:eastAsia="仿宋_GB2312" w:cs="仿宋_GB2312"/>
          <w:lang w:val="en-US" w:eastAsia="zh-CN"/>
        </w:rPr>
        <w:t>.服务地方文化建设</w:t>
      </w:r>
      <w:bookmarkEnd w:id="133"/>
    </w:p>
    <w:p>
      <w:pPr>
        <w:pageBreakBefore w:val="0"/>
        <w:kinsoku/>
        <w:wordWrap/>
        <w:overflowPunct/>
        <w:topLinePunct w:val="0"/>
        <w:bidi w:val="0"/>
        <w:spacing w:line="56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校围绕地方文化建设工作，通过开展各类志愿服务和公益活动，培养学生的奉献精神，积极引导学生奉献社会，使在校生在奉献中锻炼综合能力、提升素质修养。组织各级团组织共成立10支暑期大学生“三下乡”社会实践立项团队，活动的开展为引导青年学生积极投身脱贫攻坚战和乡村振兴战略，以实际行动为广西发展贡献青春力量。其中2个实践团获得广西大中专学生志愿者暑期文化科技卫生“三下乡”社会实践活动全国重点团队，4个团队获自治区重立项团队。管理工程系“聚焦乡村基层卫生建设，助力乡村振兴”实践团在2020年“趁年轻去基层”全国大学生“千校千项”网络展示活动的通报荣获“最美团队” ，所撰写的调研报告获评“2020年大学生返家乡社会实践优秀调研报告” 。</w:t>
      </w:r>
    </w:p>
    <w:p>
      <w:pPr>
        <w:pageBreakBefore w:val="0"/>
        <w:kinsoku/>
        <w:wordWrap/>
        <w:overflowPunct/>
        <w:topLinePunct w:val="0"/>
        <w:bidi w:val="0"/>
        <w:spacing w:line="560" w:lineRule="exact"/>
        <w:ind w:right="0" w:rightChars="0"/>
        <w:textAlignment w:val="auto"/>
        <w:rPr>
          <w:rFonts w:hint="eastAsia" w:ascii="仿宋_GB2312" w:hAnsi="仿宋_GB2312" w:cs="仿宋_GB2312"/>
          <w:sz w:val="32"/>
          <w:szCs w:val="32"/>
          <w:lang w:val="en-US" w:eastAsia="zh-CN"/>
        </w:rPr>
      </w:pPr>
      <w:r>
        <w:rPr>
          <w:rFonts w:hint="eastAsia" w:ascii="仿宋_GB2312" w:hAnsi="仿宋_GB2312" w:eastAsia="仿宋_GB2312" w:cs="仿宋_GB2312"/>
          <w:sz w:val="32"/>
          <w:szCs w:val="32"/>
        </w:rPr>
        <w:t>由于疫情原因，本年度我校志愿服务活动主要在校内开展，包括废品回收、无偿献血等活动，我校荣获2020年度南宁市无偿献血促进奖单位奖。在第十二届“挑战杯”中国大学生创业计划竞赛国赛决赛中，我校2个项目荣获金奖。 建筑设备与环境工程系“一方净水”项目在第五届中国青年志愿服务项目大赛总决赛上获得了全国银奖的优异成绩。</w:t>
      </w:r>
      <w:r>
        <w:rPr>
          <w:rFonts w:hint="eastAsia" w:ascii="仿宋_GB2312" w:hAnsi="仿宋_GB2312" w:cs="仿宋_GB2312"/>
          <w:sz w:val="32"/>
          <w:szCs w:val="32"/>
          <w:lang w:val="en-US" w:eastAsia="zh-CN"/>
        </w:rPr>
        <w:t xml:space="preserve">  </w:t>
      </w:r>
    </w:p>
    <w:p>
      <w:pPr>
        <w:pStyle w:val="4"/>
        <w:keepNext/>
        <w:keepLines/>
        <w:pageBreakBefore w:val="0"/>
        <w:widowControl w:val="0"/>
        <w:kinsoku/>
        <w:wordWrap/>
        <w:overflowPunct/>
        <w:topLinePunct w:val="0"/>
        <w:autoSpaceDE/>
        <w:autoSpaceDN/>
        <w:bidi w:val="0"/>
        <w:adjustRightInd/>
        <w:snapToGrid/>
        <w:spacing w:line="0" w:lineRule="atLeast"/>
        <w:textAlignment w:val="auto"/>
        <w:rPr>
          <w:rFonts w:hint="eastAsia"/>
          <w:lang w:val="en-US" w:eastAsia="zh-CN"/>
        </w:rPr>
      </w:pPr>
      <w:bookmarkStart w:id="134" w:name="_Toc13073"/>
      <w:r>
        <w:rPr>
          <w:rFonts w:hint="eastAsia"/>
          <w:lang w:val="en-US" w:eastAsia="zh-CN"/>
        </w:rPr>
        <w:t>（三）服务行业企业</w:t>
      </w:r>
      <w:bookmarkEnd w:id="134"/>
    </w:p>
    <w:p>
      <w:pPr>
        <w:pStyle w:val="5"/>
        <w:keepNext/>
        <w:keepLines/>
        <w:pageBreakBefore w:val="0"/>
        <w:widowControl w:val="0"/>
        <w:kinsoku/>
        <w:wordWrap/>
        <w:overflowPunct/>
        <w:topLinePunct w:val="0"/>
        <w:autoSpaceDE/>
        <w:autoSpaceDN/>
        <w:bidi w:val="0"/>
        <w:adjustRightInd/>
        <w:snapToGrid/>
        <w:spacing w:line="0" w:lineRule="atLeast"/>
        <w:textAlignment w:val="auto"/>
        <w:rPr>
          <w:rFonts w:hint="eastAsia"/>
        </w:rPr>
      </w:pPr>
      <w:bookmarkStart w:id="135" w:name="_Toc27543"/>
      <w:r>
        <w:rPr>
          <w:rFonts w:hint="eastAsia"/>
        </w:rPr>
        <w:t>1</w:t>
      </w:r>
      <w:r>
        <w:rPr>
          <w:rFonts w:hint="eastAsia"/>
          <w:lang w:val="en-US" w:eastAsia="zh-Hans"/>
        </w:rPr>
        <w:t>.</w:t>
      </w:r>
      <w:r>
        <w:rPr>
          <w:rFonts w:hint="eastAsia"/>
        </w:rPr>
        <w:t>校企合作进一步加强，服务行业能力进一步提升</w:t>
      </w:r>
      <w:bookmarkEnd w:id="135"/>
    </w:p>
    <w:p>
      <w:pPr>
        <w:pageBreakBefore w:val="0"/>
        <w:kinsoku/>
        <w:wordWrap/>
        <w:overflowPunct/>
        <w:topLinePunct w:val="0"/>
        <w:bidi w:val="0"/>
        <w:spacing w:line="560" w:lineRule="exact"/>
        <w:ind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校采取灵活多样的校企合作形式，进一步加强与行业企业的产学合作，增强学校服务企业、服务社会的能力。扎实践行校企“七个共同”，即校企双方共同研究专业设置、共同设计人才培养方案、共同开发课程、共同开发教材、共同组建教学团队、共同建设实训实习平台、共同制定人才培养质量标准。与企业共同合作完成多项工法的编制，实现生产育人和服务社会，产生了良好的社会影响力。充分发挥教师研究、指导、咨询、服务优势，拓展社会服务面，开展服务广西工业化、城镇化和社会主义新农村建设。</w:t>
      </w:r>
      <w:bookmarkEnd w:id="114"/>
    </w:p>
    <w:p>
      <w:pPr>
        <w:pStyle w:val="5"/>
        <w:bidi w:val="0"/>
        <w:rPr>
          <w:rFonts w:hint="eastAsia" w:ascii="仿宋_GB2312" w:hAnsi="仿宋_GB2312" w:eastAsia="仿宋_GB2312" w:cs="仿宋_GB2312"/>
        </w:rPr>
      </w:pPr>
      <w:bookmarkStart w:id="136" w:name="_Toc7362"/>
      <w:bookmarkStart w:id="137" w:name="_Toc24606_WPSOffice_Level3"/>
      <w:bookmarkStart w:id="138" w:name="_Toc437380323"/>
      <w:bookmarkStart w:id="139" w:name="_Toc9583"/>
      <w:r>
        <w:rPr>
          <w:rFonts w:hint="eastAsia" w:ascii="仿宋_GB2312" w:hAnsi="仿宋_GB2312" w:eastAsia="仿宋_GB2312" w:cs="仿宋_GB2312"/>
        </w:rPr>
        <w:t>2.进一步推动“政行校企”合作深入开展</w:t>
      </w:r>
      <w:bookmarkEnd w:id="136"/>
      <w:bookmarkEnd w:id="137"/>
      <w:r>
        <w:rPr>
          <w:rFonts w:hint="eastAsia" w:ascii="仿宋_GB2312" w:hAnsi="仿宋_GB2312" w:eastAsia="仿宋_GB2312" w:cs="仿宋_GB2312"/>
        </w:rPr>
        <w:t xml:space="preserve"> </w:t>
      </w:r>
    </w:p>
    <w:p>
      <w:pPr>
        <w:pageBreakBefore w:val="0"/>
        <w:pBdr>
          <w:bottom w:val="single" w:color="FFFFFF" w:sz="4" w:space="15"/>
        </w:pBdr>
        <w:tabs>
          <w:tab w:val="left" w:pos="7380"/>
        </w:tabs>
        <w:kinsoku/>
        <w:wordWrap/>
        <w:overflowPunct/>
        <w:topLinePunct w:val="0"/>
        <w:autoSpaceDE w:val="0"/>
        <w:autoSpaceDN w:val="0"/>
        <w:bidi w:val="0"/>
        <w:adjustRightInd w:val="0"/>
        <w:snapToGrid w:val="0"/>
        <w:spacing w:line="560" w:lineRule="exact"/>
        <w:ind w:right="0" w:rightChars="0"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充分利用广西建设职业教育集团和我校作为广西建设职业教育教学指导委员会秘书处单位的优势地位，依托校企合作发展理事会平台，全面</w:t>
      </w:r>
      <w:r>
        <w:rPr>
          <w:rFonts w:hint="eastAsia" w:ascii="仿宋_GB2312" w:hAnsi="仿宋_GB2312" w:eastAsia="仿宋_GB2312" w:cs="仿宋_GB2312"/>
          <w:bCs/>
          <w:sz w:val="32"/>
          <w:szCs w:val="32"/>
        </w:rPr>
        <w:t>提升服务区域产业发展、服务现代职业教育体系建设的水平，大幅拓展和扩大学校对来自政府、行业和企业在政策、资源和力量方面的享有面、可倾斜面、支持面和参与面，充分利用各方力量，助推学校做大做强。深化教育教学改革以及人才培养模式，引企入校，加大资金投入，营造教学工厂，校企共建办学实体，共建实训室，共同参与人才培养，共同开发精品课程和教材，不断升级、优化我校各类教学资源，提升教学实力。</w:t>
      </w:r>
    </w:p>
    <w:p>
      <w:pPr>
        <w:pageBreakBefore w:val="0"/>
        <w:pBdr>
          <w:bottom w:val="single" w:color="FFFFFF" w:sz="4" w:space="15"/>
        </w:pBdr>
        <w:tabs>
          <w:tab w:val="left" w:pos="7380"/>
        </w:tabs>
        <w:kinsoku/>
        <w:wordWrap/>
        <w:overflowPunct/>
        <w:topLinePunct w:val="0"/>
        <w:autoSpaceDE w:val="0"/>
        <w:autoSpaceDN w:val="0"/>
        <w:bidi w:val="0"/>
        <w:adjustRightInd w:val="0"/>
        <w:snapToGrid w:val="0"/>
        <w:spacing w:line="560" w:lineRule="exact"/>
        <w:ind w:right="0" w:rightChars="0" w:firstLine="64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进一步完善校企人员互派互聘机制和相关制度，从而加强“双师型”师资队伍的建设。继续加强校外实训实习基地建设，提升规模和质量水平。</w:t>
      </w:r>
    </w:p>
    <w:p>
      <w:pPr>
        <w:pStyle w:val="5"/>
        <w:bidi w:val="0"/>
        <w:rPr>
          <w:rFonts w:hint="eastAsia" w:ascii="仿宋_GB2312" w:hAnsi="仿宋_GB2312" w:eastAsia="仿宋_GB2312" w:cs="仿宋_GB2312"/>
        </w:rPr>
      </w:pPr>
      <w:bookmarkStart w:id="140" w:name="_Toc10174"/>
      <w:bookmarkStart w:id="141" w:name="_Toc29778_WPSOffice_Level3"/>
      <w:r>
        <w:rPr>
          <w:rFonts w:hint="eastAsia" w:ascii="仿宋_GB2312" w:hAnsi="仿宋_GB2312" w:eastAsia="仿宋_GB2312" w:cs="仿宋_GB2312"/>
        </w:rPr>
        <w:t>3.专业设置与产业需求对接，提升专业服务产业力</w:t>
      </w:r>
      <w:bookmarkEnd w:id="140"/>
      <w:bookmarkEnd w:id="141"/>
    </w:p>
    <w:p>
      <w:pPr>
        <w:pageBreakBefore w:val="0"/>
        <w:pBdr>
          <w:bottom w:val="single" w:color="FFFFFF" w:sz="4" w:space="15"/>
        </w:pBdr>
        <w:tabs>
          <w:tab w:val="left" w:pos="7380"/>
        </w:tabs>
        <w:kinsoku/>
        <w:wordWrap/>
        <w:overflowPunct/>
        <w:topLinePunct w:val="0"/>
        <w:autoSpaceDE w:val="0"/>
        <w:autoSpaceDN w:val="0"/>
        <w:bidi w:val="0"/>
        <w:adjustRightInd w:val="0"/>
        <w:snapToGrid w:val="0"/>
        <w:spacing w:line="560" w:lineRule="exact"/>
        <w:ind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Cs/>
          <w:sz w:val="32"/>
          <w:szCs w:val="32"/>
        </w:rPr>
        <w:t>依托我校是广西建设行指委秘书处单位的优势，采取灵</w:t>
      </w:r>
      <w:r>
        <w:rPr>
          <w:rFonts w:hint="eastAsia" w:ascii="仿宋_GB2312" w:hAnsi="仿宋_GB2312" w:eastAsia="仿宋_GB2312" w:cs="仿宋_GB2312"/>
          <w:sz w:val="32"/>
          <w:szCs w:val="32"/>
        </w:rPr>
        <w:t>活多样的校企合作形式，进一步加强与行业企业的产学合作，增强学校服务企业、服务社会的能力。学校与行业、企业联合开展“‘中国建设杯’第三届全国装配式建筑职业技能竞赛预赛暨广西区建筑信息模型技术员职业技能竞赛”“2020年第三届广西物业管理行业技能竞赛等多个技能竞赛”，以赛促教、以赛促学、以赛促改，提高学生对实习操作技能掌握的同时，推动各专业核心能力课程体系、教学内容和教学方法的深入改革和创新建设，加快高校人才培养方式改革步伐，为行业发展提供新型人才。同时由专业教师（公司技术人员）带领学生共同将专业技能转化成工程设计产品（作品），与企业共同合作完成多项工法的编制，实现生产育人和服务社会，产生了良好的社会影响力。充分发挥教师研究、指导、咨询、服务优势，拓展社会服务面，开展服务广西工业化、城镇化和社会主义新农村建设。我校各专业组织教师深入基层指导乡镇建设，教师带领学生开展“技术咨询，服务地方建设”的活动，今年师生共参与实际项目设计达百余项。</w:t>
      </w:r>
    </w:p>
    <w:p>
      <w:pPr>
        <w:pStyle w:val="3"/>
        <w:bidi w:val="0"/>
        <w:rPr>
          <w:rFonts w:hint="eastAsia"/>
          <w:lang w:val="en-US" w:eastAsia="zh-CN"/>
        </w:rPr>
      </w:pPr>
      <w:bookmarkStart w:id="142" w:name="_Toc24388"/>
      <w:r>
        <w:rPr>
          <w:rFonts w:hint="eastAsia"/>
          <w:lang w:eastAsia="zh-CN"/>
        </w:rPr>
        <w:t>七、抗击疫情，强化服务</w:t>
      </w:r>
      <w:bookmarkEnd w:id="142"/>
    </w:p>
    <w:p>
      <w:pPr>
        <w:pStyle w:val="4"/>
        <w:bidi w:val="0"/>
        <w:rPr>
          <w:rFonts w:hint="eastAsia"/>
          <w:lang w:eastAsia="zh-CN"/>
        </w:rPr>
      </w:pPr>
      <w:bookmarkStart w:id="143" w:name="_Toc21360"/>
      <w:r>
        <w:rPr>
          <w:rFonts w:hint="eastAsia"/>
          <w:lang w:eastAsia="zh-CN"/>
        </w:rPr>
        <w:t>（一）教学工作</w:t>
      </w:r>
      <w:bookmarkEnd w:id="143"/>
    </w:p>
    <w:p>
      <w:pPr>
        <w:pageBreakBefore w:val="0"/>
        <w:pBdr>
          <w:bottom w:val="single" w:color="FFFFFF" w:sz="4" w:space="15"/>
        </w:pBdr>
        <w:tabs>
          <w:tab w:val="left" w:pos="7380"/>
        </w:tabs>
        <w:kinsoku/>
        <w:wordWrap/>
        <w:overflowPunct/>
        <w:topLinePunct w:val="0"/>
        <w:autoSpaceDE w:val="0"/>
        <w:autoSpaceDN w:val="0"/>
        <w:bidi w:val="0"/>
        <w:adjustRightInd w:val="0"/>
        <w:snapToGrid w:val="0"/>
        <w:spacing w:line="560" w:lineRule="exact"/>
        <w:ind w:left="0" w:leftChars="0"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贯彻落实教育部和自治区教育厅关于“停课不停教、停</w:t>
      </w:r>
      <w:r>
        <w:rPr>
          <w:rFonts w:hint="eastAsia" w:ascii="仿宋_GB2312" w:hAnsi="仿宋_GB2312" w:eastAsia="仿宋_GB2312" w:cs="仿宋_GB2312"/>
          <w:color w:val="000000"/>
          <w:sz w:val="32"/>
          <w:szCs w:val="32"/>
        </w:rPr>
        <w:t>课不停学”相关要求，疫情期间组建校内在线教学技术支持团队，</w:t>
      </w:r>
      <w:r>
        <w:rPr>
          <w:rFonts w:hint="eastAsia" w:ascii="仿宋_GB2312" w:hAnsi="仿宋_GB2312" w:eastAsia="仿宋_GB2312" w:cs="仿宋_GB2312"/>
          <w:sz w:val="32"/>
          <w:szCs w:val="32"/>
        </w:rPr>
        <w:t>按照“合格一批、推出一批”的原则稳步推进在线教学工作，保证在线教学质量。</w:t>
      </w:r>
      <w:r>
        <w:rPr>
          <w:rFonts w:hint="eastAsia" w:ascii="仿宋_GB2312" w:hAnsi="仿宋_GB2312" w:eastAsia="仿宋_GB2312" w:cs="仿宋_GB2312"/>
          <w:color w:val="000000"/>
          <w:sz w:val="32"/>
          <w:szCs w:val="32"/>
        </w:rPr>
        <w:t>为全力满足在线教学需求，</w:t>
      </w:r>
      <w:r>
        <w:rPr>
          <w:rFonts w:hint="eastAsia" w:ascii="仿宋_GB2312" w:hAnsi="仿宋_GB2312" w:eastAsia="仿宋_GB2312" w:cs="仿宋_GB2312"/>
          <w:sz w:val="32"/>
          <w:szCs w:val="32"/>
        </w:rPr>
        <w:t>利用“超星”“智慧职教”“清华教育在线”和“建院云课堂”四个教学平台，为教师生提供网络课堂、教学管理能服务，进一步发挥优质教学资源的示范性和共享性。</w:t>
      </w:r>
      <w:r>
        <w:rPr>
          <w:rFonts w:hint="eastAsia" w:ascii="仿宋_GB2312" w:hAnsi="仿宋_GB2312" w:eastAsia="仿宋_GB2312" w:cs="仿宋_GB2312"/>
          <w:color w:val="000000"/>
          <w:sz w:val="32"/>
          <w:szCs w:val="32"/>
        </w:rPr>
        <w:t>紧急筹建移动录播/直播室20间，</w:t>
      </w:r>
      <w:r>
        <w:rPr>
          <w:rFonts w:hint="eastAsia" w:ascii="仿宋_GB2312" w:hAnsi="仿宋_GB2312" w:eastAsia="仿宋_GB2312" w:cs="仿宋_GB2312"/>
          <w:color w:val="000000"/>
          <w:sz w:val="32"/>
          <w:szCs w:val="32"/>
          <w:lang w:val="en-US" w:eastAsia="zh-Hans"/>
        </w:rPr>
        <w:t>在线课程</w:t>
      </w:r>
      <w:r>
        <w:rPr>
          <w:rFonts w:hint="eastAsia" w:ascii="仿宋_GB2312" w:hAnsi="仿宋_GB2312" w:cs="仿宋_GB2312"/>
          <w:color w:val="000000"/>
          <w:sz w:val="32"/>
          <w:szCs w:val="32"/>
          <w:lang w:val="en-US" w:eastAsia="zh-CN"/>
        </w:rPr>
        <w:t>385</w:t>
      </w:r>
      <w:r>
        <w:rPr>
          <w:rFonts w:hint="eastAsia" w:ascii="仿宋_GB2312" w:hAnsi="仿宋_GB2312" w:eastAsia="仿宋_GB2312" w:cs="仿宋_GB2312"/>
          <w:color w:val="000000"/>
          <w:sz w:val="32"/>
          <w:szCs w:val="32"/>
          <w:lang w:val="en-US" w:eastAsia="zh-Hans"/>
        </w:rPr>
        <w:t>门</w:t>
      </w:r>
      <w:r>
        <w:rPr>
          <w:rFonts w:hint="eastAsia" w:ascii="仿宋_GB2312" w:hAnsi="仿宋_GB2312" w:eastAsia="仿宋_GB2312" w:cs="仿宋_GB2312"/>
          <w:color w:val="000000"/>
          <w:sz w:val="32"/>
          <w:szCs w:val="32"/>
          <w:lang w:eastAsia="zh-Hans"/>
        </w:rPr>
        <w:t>，</w:t>
      </w:r>
      <w:r>
        <w:rPr>
          <w:rFonts w:hint="eastAsia" w:ascii="仿宋_GB2312" w:hAnsi="仿宋_GB2312" w:eastAsia="仿宋_GB2312" w:cs="仿宋_GB2312"/>
          <w:color w:val="000000"/>
          <w:sz w:val="32"/>
          <w:szCs w:val="32"/>
        </w:rPr>
        <w:t>在线教学工作稳步推进。</w:t>
      </w:r>
      <w:r>
        <w:rPr>
          <w:rFonts w:hint="eastAsia" w:ascii="仿宋_GB2312" w:hAnsi="仿宋_GB2312" w:eastAsia="仿宋_GB2312" w:cs="仿宋_GB2312"/>
          <w:color w:val="000000"/>
          <w:sz w:val="32"/>
          <w:szCs w:val="32"/>
          <w:lang w:eastAsia="zh-CN"/>
        </w:rPr>
        <w:t>目前</w:t>
      </w:r>
      <w:r>
        <w:rPr>
          <w:rFonts w:hint="eastAsia" w:ascii="仿宋_GB2312" w:hAnsi="仿宋_GB2312" w:eastAsia="仿宋_GB2312" w:cs="仿宋_GB2312"/>
          <w:sz w:val="32"/>
          <w:szCs w:val="32"/>
        </w:rPr>
        <w:t>学校11个教学单位，依托数据平台和信息化教学资源</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color w:val="000000"/>
          <w:sz w:val="32"/>
          <w:szCs w:val="32"/>
          <w:lang w:eastAsia="zh-CN"/>
        </w:rPr>
        <w:t>在线运行课程1233门，</w:t>
      </w:r>
      <w:r>
        <w:rPr>
          <w:rFonts w:hint="eastAsia" w:ascii="仿宋_GB2312" w:hAnsi="仿宋_GB2312" w:eastAsia="仿宋_GB2312" w:cs="仿宋_GB2312"/>
          <w:sz w:val="32"/>
          <w:szCs w:val="32"/>
          <w:lang w:eastAsia="zh-CN"/>
        </w:rPr>
        <w:t>自建课程392门，在线课程占比38.5%。</w:t>
      </w:r>
    </w:p>
    <w:p>
      <w:pPr>
        <w:pStyle w:val="4"/>
        <w:bidi w:val="0"/>
        <w:rPr>
          <w:rFonts w:hint="eastAsia"/>
          <w:lang w:eastAsia="zh-CN"/>
        </w:rPr>
      </w:pPr>
      <w:bookmarkStart w:id="144" w:name="_Toc31266"/>
      <w:r>
        <w:rPr>
          <w:rFonts w:hint="eastAsia"/>
          <w:lang w:eastAsia="zh-CN"/>
        </w:rPr>
        <w:t>（二）学生管理工作</w:t>
      </w:r>
      <w:bookmarkEnd w:id="144"/>
    </w:p>
    <w:p>
      <w:pPr>
        <w:pageBreakBefore w:val="0"/>
        <w:pBdr>
          <w:bottom w:val="single" w:color="FFFFFF" w:sz="4" w:space="15"/>
        </w:pBdr>
        <w:tabs>
          <w:tab w:val="left" w:pos="7380"/>
        </w:tabs>
        <w:kinsoku/>
        <w:wordWrap/>
        <w:overflowPunct/>
        <w:topLinePunct w:val="0"/>
        <w:autoSpaceDE w:val="0"/>
        <w:autoSpaceDN w:val="0"/>
        <w:bidi w:val="0"/>
        <w:adjustRightInd w:val="0"/>
        <w:snapToGrid w:val="0"/>
        <w:spacing w:line="560" w:lineRule="exact"/>
        <w:ind w:left="0" w:leftChars="0" w:right="0" w:rightChars="0" w:firstLine="321" w:firstLine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筑牢校园“防疫墙”，打好疫情防控基础。</w:t>
      </w:r>
      <w:r>
        <w:rPr>
          <w:rFonts w:hint="eastAsia" w:ascii="仿宋_GB2312" w:hAnsi="仿宋_GB2312" w:eastAsia="仿宋_GB2312" w:cs="仿宋_GB2312"/>
          <w:sz w:val="32"/>
          <w:szCs w:val="32"/>
        </w:rPr>
        <w:t>按照上级和学校疫情防控的各项工作</w:t>
      </w:r>
      <w:r>
        <w:rPr>
          <w:rFonts w:hint="eastAsia" w:ascii="仿宋_GB2312" w:hAnsi="仿宋_GB2312" w:eastAsia="仿宋_GB2312" w:cs="仿宋_GB2312"/>
          <w:color w:val="000000" w:themeColor="text1"/>
          <w:sz w:val="32"/>
          <w:szCs w:val="32"/>
          <w14:textFill>
            <w14:solidFill>
              <w14:schemeClr w14:val="tx1"/>
            </w14:solidFill>
          </w14:textFill>
        </w:rPr>
        <w:t>部署，制定《学生错峰返校及返校后学生管理工作方案》《学生宿舍疫情防控工作方案》等，筹建临时隔离观察场所，打造温馨隔离区，为学生返校</w:t>
      </w:r>
      <w:r>
        <w:rPr>
          <w:rFonts w:hint="eastAsia" w:ascii="仿宋_GB2312" w:hAnsi="仿宋_GB2312" w:eastAsia="仿宋_GB2312" w:cs="仿宋_GB2312"/>
          <w:sz w:val="32"/>
          <w:szCs w:val="32"/>
        </w:rPr>
        <w:t>营造安全、健康的生活学习环境提供基础保障。</w:t>
      </w:r>
    </w:p>
    <w:p>
      <w:pPr>
        <w:pageBreakBefore w:val="0"/>
        <w:pBdr>
          <w:bottom w:val="single" w:color="FFFFFF" w:sz="4" w:space="15"/>
        </w:pBdr>
        <w:tabs>
          <w:tab w:val="left" w:pos="7380"/>
        </w:tabs>
        <w:kinsoku/>
        <w:wordWrap/>
        <w:overflowPunct/>
        <w:topLinePunct w:val="0"/>
        <w:autoSpaceDE w:val="0"/>
        <w:autoSpaceDN w:val="0"/>
        <w:bidi w:val="0"/>
        <w:adjustRightInd w:val="0"/>
        <w:snapToGrid w:val="0"/>
        <w:spacing w:line="560" w:lineRule="exact"/>
        <w:ind w:left="0" w:leftChars="0" w:right="0" w:rightChars="0" w:firstLine="321"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加强学生教育管理，落实常态化疫情防控。</w:t>
      </w:r>
      <w:r>
        <w:rPr>
          <w:rFonts w:hint="eastAsia" w:ascii="仿宋_GB2312" w:hAnsi="仿宋_GB2312" w:eastAsia="仿宋_GB2312" w:cs="仿宋_GB2312"/>
          <w:sz w:val="32"/>
          <w:szCs w:val="32"/>
        </w:rPr>
        <w:t>2020年</w:t>
      </w:r>
      <w:r>
        <w:rPr>
          <w:rFonts w:hint="eastAsia" w:ascii="仿宋_GB2312" w:hAnsi="仿宋_GB2312" w:eastAsia="仿宋_GB2312" w:cs="仿宋_GB2312"/>
          <w:color w:val="000000" w:themeColor="text1"/>
          <w:sz w:val="32"/>
          <w:szCs w:val="32"/>
          <w14:textFill>
            <w14:solidFill>
              <w14:schemeClr w14:val="tx1"/>
            </w14:solidFill>
          </w14:textFill>
        </w:rPr>
        <w:t>1月至7月，严格执行“日报告、零报告”制度，不间断对全校学生每日进行健康监测的全面排查，按时精准上报；7月份以来，坚持每周对全校学生摸排做到全覆盖、不漏人的常态化疫情防控，认真贯彻“非必要不外出”的防疫要求，全力守好疫情防控的高校阵地。通过推广师生战“疫”先进事迹，打造同心抗“疫”，暖心护航“服务队”，开设学生事务网络办理渠道，全方位服务学生；为贫困生发放学习流量补助、特殊困难学生临时补助等2101人次，共计78.94万元。组织学生参与疫情防控校园管理知识竞赛，引导学生客观理性看待当前疫情形势，自觉在常态化疫情防控中遵守校园安全管理。</w:t>
      </w:r>
    </w:p>
    <w:p>
      <w:pPr>
        <w:pageBreakBefore w:val="0"/>
        <w:pBdr>
          <w:bottom w:val="single" w:color="FFFFFF" w:sz="4" w:space="15"/>
        </w:pBdr>
        <w:tabs>
          <w:tab w:val="left" w:pos="7380"/>
        </w:tabs>
        <w:kinsoku/>
        <w:wordWrap/>
        <w:overflowPunct/>
        <w:topLinePunct w:val="0"/>
        <w:autoSpaceDE w:val="0"/>
        <w:autoSpaceDN w:val="0"/>
        <w:bidi w:val="0"/>
        <w:adjustRightInd w:val="0"/>
        <w:snapToGrid w:val="0"/>
        <w:spacing w:line="560" w:lineRule="exact"/>
        <w:ind w:left="0" w:leftChars="0" w:right="0" w:rightChars="0" w:firstLine="321" w:firstLineChars="1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多措并举强化公寓管理，优化疫情防控人性化服务。</w:t>
      </w:r>
      <w:r>
        <w:rPr>
          <w:rFonts w:hint="eastAsia" w:ascii="仿宋_GB2312" w:hAnsi="仿宋_GB2312" w:eastAsia="仿宋_GB2312" w:cs="仿宋_GB2312"/>
          <w:color w:val="000000" w:themeColor="text1"/>
          <w:sz w:val="32"/>
          <w:szCs w:val="32"/>
          <w14:textFill>
            <w14:solidFill>
              <w14:schemeClr w14:val="tx1"/>
            </w14:solidFill>
          </w14:textFill>
        </w:rPr>
        <w:t>围绕学生返校前、返校报到、返校后三个阶段精心编制学生宿舍疫情防控方案。加大日常巡查力度，开展地毯式安全隐患排查，检查落实卫生、消毒工作。编印疫情防控学生公寓生活管理须知，通过公寓多媒体播放系统、宣传栏和LED显示屏，全方位开展疫情防控宣传教育。增加遮阳伞、晾晒架、休息椅等公寓生活设施，开通晒被服、宿舍通风、植被寄养、应急演练等服务。还特别为13021名学生暖心筹备“建院学子专属健康包”，为毕业生定制建院专属毕业礼物——纪念徽章。</w:t>
      </w:r>
    </w:p>
    <w:p>
      <w:pPr>
        <w:pageBreakBefore w:val="0"/>
        <w:widowControl/>
        <w:kinsoku/>
        <w:wordWrap/>
        <w:overflowPunct/>
        <w:topLinePunct w:val="0"/>
        <w:autoSpaceDE/>
        <w:autoSpaceDN/>
        <w:bidi w:val="0"/>
        <w:adjustRightInd w:val="0"/>
        <w:snapToGrid w:val="0"/>
        <w:spacing w:line="560" w:lineRule="exact"/>
        <w:ind w:left="0" w:leftChars="0" w:firstLine="321" w:firstLineChars="1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扎实开展心理支持服务，架起心灵沟通“暖心桥”。</w:t>
      </w:r>
      <w:r>
        <w:rPr>
          <w:rFonts w:hint="eastAsia" w:ascii="仿宋_GB2312" w:hAnsi="仿宋_GB2312" w:eastAsia="仿宋_GB2312" w:cs="仿宋_GB2312"/>
          <w:color w:val="000000" w:themeColor="text1"/>
          <w:sz w:val="32"/>
          <w:szCs w:val="32"/>
          <w14:textFill>
            <w14:solidFill>
              <w14:schemeClr w14:val="tx1"/>
            </w14:solidFill>
          </w14:textFill>
        </w:rPr>
        <w:t>一方面，制定《疫情防控期间心理援助服务工作方案》，开通心理咨询专用QQ，注重战疫知识普及和积极情感宣贯，通过录制心理微课、推出系列心理调适科普推文，推广疫情常态下学生心理服务工作。注重提升教学和咨询服务双元育人实效，做到复学前线上课程有序开展，复学前后，全天候保证校朋辈心理互助员在线值班和心理老师昼夜在岗值守，并为返校学生暖心筹备“建院学子专属健康包”，为隔离间暖心准备心理贴士和礼品套装，为毕业生定制建院专属毕业礼物。另一方面，以创建全国大学生心理健康教育与咨询示范中心为目标，较好地完成了全面满足学生对心理服务需求的升级版心理中心的建设，截至12月10日，年度接待个体咨询407人次、放松体验服务1008人次，转介严重心理问题学生73例，实施危机干预27人次，在一定程度上避免了危机事件的发生。并着手推进医校合作，畅通心理疾病学生的绿色通道。</w:t>
      </w:r>
    </w:p>
    <w:p>
      <w:pPr>
        <w:pageBreakBefore w:val="0"/>
        <w:widowControl/>
        <w:kinsoku/>
        <w:wordWrap/>
        <w:overflowPunct/>
        <w:topLinePunct w:val="0"/>
        <w:autoSpaceDE/>
        <w:autoSpaceDN/>
        <w:bidi w:val="0"/>
        <w:adjustRightInd w:val="0"/>
        <w:snapToGrid w:val="0"/>
        <w:spacing w:line="560" w:lineRule="exact"/>
        <w:ind w:left="0" w:leftChars="0" w:firstLine="321" w:firstLineChars="100"/>
        <w:jc w:val="left"/>
        <w:textAlignment w:val="auto"/>
        <w:rPr>
          <w:rFonts w:hint="eastAsia" w:ascii="楷体_GB2312" w:hAnsi="楷体_GB2312" w:eastAsia="楷体_GB2312" w:cs="楷体_GB2312"/>
          <w:b/>
          <w:bCs/>
          <w:color w:val="auto"/>
          <w:sz w:val="32"/>
          <w:szCs w:val="32"/>
          <w:lang w:eastAsia="zh-CN"/>
        </w:rPr>
      </w:pP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战疫助学，“疫”“情”同行。</w:t>
      </w:r>
      <w:r>
        <w:rPr>
          <w:rFonts w:hint="eastAsia" w:ascii="仿宋_GB2312" w:hAnsi="仿宋_GB2312" w:eastAsia="仿宋_GB2312" w:cs="仿宋_GB2312"/>
          <w:color w:val="000000" w:themeColor="text1"/>
          <w:sz w:val="32"/>
          <w:szCs w:val="32"/>
          <w14:textFill>
            <w14:solidFill>
              <w14:schemeClr w14:val="tx1"/>
            </w14:solidFill>
          </w14:textFill>
        </w:rPr>
        <w:t>迅速制定</w:t>
      </w:r>
      <w:r>
        <w:rPr>
          <w:rFonts w:hint="eastAsia" w:ascii="仿宋_GB2312" w:hAnsi="仿宋_GB2312" w:eastAsia="仿宋_GB2312" w:cs="仿宋_GB2312"/>
          <w:color w:val="000000" w:themeColor="text1"/>
          <w:kern w:val="0"/>
          <w:sz w:val="32"/>
          <w:szCs w:val="32"/>
          <w:lang w:bidi="ar"/>
          <w14:textFill>
            <w14:solidFill>
              <w14:schemeClr w14:val="tx1"/>
            </w14:solidFill>
          </w14:textFill>
        </w:rPr>
        <w:t>《广西建设职业技术学院新冠疫情防控期间因疫情突发困难的学生临时资助申请方案》；</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按照学校复学计划和校疫情防控工作领导小组工作进度要求，按期完成学校隔离区物品的采购及布置工作；为</w:t>
      </w:r>
      <w:r>
        <w:rPr>
          <w:rFonts w:hint="eastAsia" w:ascii="仿宋_GB2312" w:hAnsi="仿宋_GB2312" w:eastAsia="仿宋_GB2312" w:cs="仿宋_GB2312"/>
          <w:color w:val="000000" w:themeColor="text1"/>
          <w:sz w:val="32"/>
          <w:szCs w:val="32"/>
          <w14:textFill>
            <w14:solidFill>
              <w14:schemeClr w14:val="tx1"/>
            </w14:solidFill>
          </w14:textFill>
        </w:rPr>
        <w:t>2101人次发放学习流量补助、滞留在湖北境内的学生临时困难补助、疫情专项突发困难临时补助78.94万元。及时为我校送医小组的值班人员发放相关的值班补助。时时关注隔离区生活用品的使用情况，及时完成相关生活用品的补给、采购工作。</w:t>
      </w:r>
    </w:p>
    <w:p>
      <w:pPr>
        <w:pStyle w:val="4"/>
        <w:bidi w:val="0"/>
        <w:rPr>
          <w:rFonts w:hint="eastAsia"/>
          <w:lang w:eastAsia="zh-CN"/>
        </w:rPr>
      </w:pPr>
      <w:bookmarkStart w:id="145" w:name="_Toc16924"/>
      <w:r>
        <w:rPr>
          <w:rFonts w:hint="eastAsia"/>
          <w:lang w:eastAsia="zh-CN"/>
        </w:rPr>
        <w:t>（三）教职工管理</w:t>
      </w:r>
      <w:bookmarkEnd w:id="145"/>
    </w:p>
    <w:p>
      <w:pPr>
        <w:pageBreakBefore w:val="0"/>
        <w:kinsoku/>
        <w:wordWrap/>
        <w:overflowPunct/>
        <w:topLinePunct w:val="0"/>
        <w:bidi w:val="0"/>
        <w:spacing w:line="560" w:lineRule="exact"/>
        <w:ind w:left="0" w:leftChars="0" w:right="0" w:rightChars="0" w:firstLine="6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color w:val="auto"/>
          <w:sz w:val="32"/>
          <w:szCs w:val="32"/>
          <w:highlight w:val="none"/>
          <w:lang w:val="en-US" w:eastAsia="zh-CN"/>
        </w:rPr>
        <w:t>自疫情爆发以来，学校人事处严格按照要求对全校教师职工8</w:t>
      </w:r>
      <w:r>
        <w:rPr>
          <w:rFonts w:hint="eastAsia" w:ascii="仿宋_GB2312" w:hAnsi="仿宋_GB2312" w:eastAsia="仿宋_GB2312" w:cs="仿宋_GB2312"/>
          <w:color w:val="auto"/>
          <w:sz w:val="32"/>
          <w:szCs w:val="32"/>
          <w:highlight w:val="none"/>
          <w:lang w:eastAsia="zh-CN"/>
        </w:rPr>
        <w:t>00</w:t>
      </w:r>
      <w:r>
        <w:rPr>
          <w:rFonts w:hint="eastAsia" w:ascii="仿宋_GB2312" w:hAnsi="仿宋_GB2312" w:eastAsia="仿宋_GB2312" w:cs="仿宋_GB2312"/>
          <w:color w:val="auto"/>
          <w:sz w:val="32"/>
          <w:szCs w:val="32"/>
          <w:highlight w:val="none"/>
          <w:lang w:val="en-US" w:eastAsia="zh-CN"/>
        </w:rPr>
        <w:t>多人、建科院17</w:t>
      </w:r>
      <w:r>
        <w:rPr>
          <w:rFonts w:hint="eastAsia" w:ascii="仿宋_GB2312" w:hAnsi="仿宋_GB2312" w:eastAsia="仿宋_GB2312" w:cs="仿宋_GB2312"/>
          <w:color w:val="auto"/>
          <w:sz w:val="32"/>
          <w:szCs w:val="32"/>
          <w:highlight w:val="none"/>
          <w:lang w:eastAsia="zh-CN"/>
        </w:rPr>
        <w:t>00</w:t>
      </w:r>
      <w:r>
        <w:rPr>
          <w:rFonts w:hint="eastAsia" w:ascii="仿宋_GB2312" w:hAnsi="仿宋_GB2312" w:eastAsia="仿宋_GB2312" w:cs="仿宋_GB2312"/>
          <w:color w:val="auto"/>
          <w:sz w:val="32"/>
          <w:szCs w:val="32"/>
          <w:highlight w:val="none"/>
          <w:lang w:val="en-US" w:eastAsia="zh-CN"/>
        </w:rPr>
        <w:t>多人进行健康排查，严格落实“日报告”“周报告”“零报告”制度，积极与上级部门、社区进行沟通协调，出现异常情况第一时间上报，对重点人群严格按照文件要求进行处置，保障了学校各项教学活动的顺利开展。党委组织部充分发挥基层党组织和党员在疫情防控工作中的作用。我校各基层党组织成立党员突击队，做好学生开学复课中的人员引导、交通疏导、秩序维护、环境消杀、学生送医、宣传引导等工作。目前，我校全体教职工均严格按照要求做好自我健康防护工作，无一人发生感染新冠肺炎病例。</w:t>
      </w:r>
    </w:p>
    <w:p>
      <w:pPr>
        <w:pStyle w:val="4"/>
        <w:bidi w:val="0"/>
        <w:ind w:left="0" w:leftChars="0" w:firstLine="321" w:firstLineChars="100"/>
        <w:rPr>
          <w:rFonts w:hint="eastAsia"/>
          <w:lang w:eastAsia="zh-CN"/>
        </w:rPr>
      </w:pPr>
      <w:bookmarkStart w:id="146" w:name="_Toc9455"/>
      <w:r>
        <w:rPr>
          <w:rFonts w:hint="eastAsia"/>
          <w:lang w:eastAsia="zh-CN"/>
        </w:rPr>
        <w:t>（四）学校日常管理</w:t>
      </w:r>
      <w:bookmarkEnd w:id="146"/>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pPr>
      <w:r>
        <w:rPr>
          <w:rFonts w:hint="eastAsia" w:ascii="仿宋_GB2312" w:hAnsi="仿宋_GB2312" w:cs="仿宋_GB2312"/>
          <w:b w:val="0"/>
          <w:bCs/>
          <w:color w:val="0D0D0D" w:themeColor="text1" w:themeTint="F2"/>
          <w:kern w:val="0"/>
          <w:sz w:val="32"/>
          <w:szCs w:val="32"/>
          <w:lang w:val="en-US" w:eastAsia="zh-Hans"/>
          <w14:textFill>
            <w14:solidFill>
              <w14:schemeClr w14:val="tx1">
                <w14:lumMod w14:val="95000"/>
                <w14:lumOff w14:val="5000"/>
              </w14:schemeClr>
            </w14:solidFill>
          </w14:textFill>
        </w:rPr>
        <w:t>在学校的日常管理中</w:t>
      </w:r>
      <w:r>
        <w:rPr>
          <w:rFonts w:hint="eastAsia" w:ascii="仿宋_GB2312" w:hAnsi="仿宋_GB2312" w:eastAsia="仿宋_GB2312" w:cs="仿宋_GB2312"/>
          <w:b w:val="0"/>
          <w:bCs/>
          <w:color w:val="0D0D0D" w:themeColor="text1" w:themeTint="F2"/>
          <w:kern w:val="0"/>
          <w:sz w:val="32"/>
          <w:szCs w:val="32"/>
          <w:lang w:eastAsia="zh-CN"/>
          <w14:textFill>
            <w14:solidFill>
              <w14:schemeClr w14:val="tx1">
                <w14:lumMod w14:val="95000"/>
                <w14:lumOff w14:val="5000"/>
              </w14:schemeClr>
            </w14:solidFill>
          </w14:textFill>
        </w:rPr>
        <w:t>以疫情防控工作为重点，发挥先锋模范作用，做到</w:t>
      </w:r>
      <w:r>
        <w:rPr>
          <w:rFonts w:hint="eastAsia" w:ascii="仿宋_GB2312" w:hAnsi="仿宋_GB2312" w:eastAsia="仿宋_GB2312" w:cs="仿宋_GB2312"/>
          <w:b w:val="0"/>
          <w:bCs/>
          <w:color w:val="0D0D0D" w:themeColor="text1" w:themeTint="F2"/>
          <w:sz w:val="32"/>
          <w:szCs w:val="32"/>
          <w:lang w:eastAsia="zh-CN"/>
          <w14:textFill>
            <w14:solidFill>
              <w14:schemeClr w14:val="tx1">
                <w14:lumMod w14:val="95000"/>
                <w14:lumOff w14:val="5000"/>
              </w14:schemeClr>
            </w14:solidFill>
          </w14:textFill>
        </w:rPr>
        <w:t>“五个到位”</w:t>
      </w:r>
      <w:r>
        <w:rPr>
          <w:rFonts w:hint="eastAsia" w:ascii="仿宋_GB2312" w:hAnsi="仿宋_GB2312" w:eastAsia="仿宋_GB2312" w:cs="仿宋_GB2312"/>
          <w:b w:val="0"/>
          <w:bCs w:val="0"/>
          <w:color w:val="0D0D0D" w:themeColor="text1" w:themeTint="F2"/>
          <w:sz w:val="32"/>
          <w:szCs w:val="32"/>
          <w:lang w:eastAsia="zh-CN"/>
          <w14:textFill>
            <w14:solidFill>
              <w14:schemeClr w14:val="tx1">
                <w14:lumMod w14:val="95000"/>
                <w14:lumOff w14:val="5000"/>
              </w14:schemeClr>
            </w14:solidFill>
          </w14:textFill>
        </w:rPr>
        <w:t>即</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防控认识提升到位，防控措施落实到位，防控责任务实到位，防控保障强化到位，防控纪律严明到位。</w:t>
      </w: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b/>
          <w:bCs/>
          <w:color w:val="0D0D0D" w:themeColor="text1" w:themeTint="F2"/>
          <w:kern w:val="0"/>
          <w:sz w:val="32"/>
          <w:szCs w:val="32"/>
          <w:lang w:eastAsia="zh-CN"/>
          <w14:textFill>
            <w14:solidFill>
              <w14:schemeClr w14:val="tx1">
                <w14:lumMod w14:val="95000"/>
                <w14:lumOff w14:val="5000"/>
              </w14:schemeClr>
            </w14:solidFill>
          </w14:textFill>
        </w:rPr>
      </w:pPr>
      <w:r>
        <w:rPr>
          <w:rFonts w:hint="eastAsia" w:ascii="仿宋_GB2312" w:hAnsi="仿宋_GB2312" w:eastAsia="仿宋_GB2312" w:cs="仿宋_GB2312"/>
          <w:b/>
          <w:color w:val="0D0D0D" w:themeColor="text1" w:themeTint="F2"/>
          <w:kern w:val="0"/>
          <w:sz w:val="32"/>
          <w:szCs w:val="32"/>
          <w:lang w:eastAsia="zh-CN" w:bidi="ar"/>
          <w14:textFill>
            <w14:solidFill>
              <w14:schemeClr w14:val="tx1">
                <w14:lumMod w14:val="95000"/>
                <w14:lumOff w14:val="5000"/>
              </w14:schemeClr>
            </w14:solidFill>
          </w14:textFill>
        </w:rPr>
        <w:t>1</w:t>
      </w:r>
      <w:r>
        <w:rPr>
          <w:rFonts w:hint="eastAsia" w:ascii="仿宋_GB2312" w:hAnsi="仿宋_GB2312" w:eastAsia="仿宋_GB2312" w:cs="仿宋_GB2312"/>
          <w:b/>
          <w:color w:val="0D0D0D" w:themeColor="text1" w:themeTint="F2"/>
          <w:kern w:val="0"/>
          <w:sz w:val="32"/>
          <w:szCs w:val="32"/>
          <w:lang w:val="en-US" w:eastAsia="zh-Hans" w:bidi="ar"/>
          <w14:textFill>
            <w14:solidFill>
              <w14:schemeClr w14:val="tx1">
                <w14:lumMod w14:val="95000"/>
                <w14:lumOff w14:val="5000"/>
              </w14:schemeClr>
            </w14:solidFill>
          </w14:textFill>
        </w:rPr>
        <w:t>.</w:t>
      </w:r>
      <w:r>
        <w:rPr>
          <w:rFonts w:hint="eastAsia" w:ascii="仿宋_GB2312" w:hAnsi="仿宋_GB2312" w:eastAsia="仿宋_GB2312" w:cs="仿宋_GB2312"/>
          <w:b/>
          <w:bCs/>
          <w:color w:val="0D0D0D" w:themeColor="text1" w:themeTint="F2"/>
          <w:sz w:val="32"/>
          <w:szCs w:val="32"/>
          <w:lang w:eastAsia="zh-CN"/>
          <w14:textFill>
            <w14:solidFill>
              <w14:schemeClr w14:val="tx1">
                <w14:lumMod w14:val="95000"/>
                <w14:lumOff w14:val="5000"/>
              </w14:schemeClr>
            </w14:solidFill>
          </w14:textFill>
        </w:rPr>
        <w:t>提高</w:t>
      </w:r>
      <w:r>
        <w:rPr>
          <w:rFonts w:hint="eastAsia" w:ascii="仿宋_GB2312" w:hAnsi="仿宋_GB2312" w:eastAsia="仿宋_GB2312" w:cs="仿宋_GB2312"/>
          <w:b/>
          <w:bCs/>
          <w:color w:val="0D0D0D" w:themeColor="text1" w:themeTint="F2"/>
          <w:sz w:val="32"/>
          <w:szCs w:val="32"/>
          <w14:textFill>
            <w14:solidFill>
              <w14:schemeClr w14:val="tx1">
                <w14:lumMod w14:val="95000"/>
                <w14:lumOff w14:val="5000"/>
              </w14:schemeClr>
            </w14:solidFill>
          </w14:textFill>
        </w:rPr>
        <w:t>政治站位，强化制度引领，盘活疫情防控“一盘棋”。</w:t>
      </w:r>
      <w:r>
        <w:rPr>
          <w:rFonts w:hint="eastAsia" w:ascii="仿宋_GB2312" w:hAnsi="仿宋_GB2312" w:eastAsia="仿宋_GB2312" w:cs="仿宋_GB2312"/>
          <w:b w:val="0"/>
          <w:bCs w:val="0"/>
          <w:color w:val="0D0D0D" w:themeColor="text1" w:themeTint="F2"/>
          <w:sz w:val="32"/>
          <w:szCs w:val="32"/>
          <w:lang w:val="en-US" w:eastAsia="zh-Hans"/>
          <w14:textFill>
            <w14:solidFill>
              <w14:schemeClr w14:val="tx1">
                <w14:lumMod w14:val="95000"/>
                <w14:lumOff w14:val="5000"/>
              </w14:schemeClr>
            </w14:solidFill>
          </w14:textFill>
        </w:rPr>
        <w:t>一是</w:t>
      </w:r>
      <w:r>
        <w:rPr>
          <w:rFonts w:hint="eastAsia" w:ascii="仿宋_GB2312" w:hAnsi="仿宋_GB2312" w:eastAsia="仿宋_GB2312" w:cs="仿宋_GB2312"/>
          <w:b w:val="0"/>
          <w:bCs w:val="0"/>
          <w:color w:val="0D0D0D" w:themeColor="text1" w:themeTint="F2"/>
          <w:sz w:val="32"/>
          <w:szCs w:val="32"/>
          <w14:textFill>
            <w14:solidFill>
              <w14:schemeClr w14:val="tx1">
                <w14:lumMod w14:val="95000"/>
                <w14:lumOff w14:val="5000"/>
              </w14:schemeClr>
            </w14:solidFill>
          </w14:textFill>
        </w:rPr>
        <w:t>加强组织领导，强化政治站位，建立联动机制，</w:t>
      </w:r>
      <w:r>
        <w:rPr>
          <w:rFonts w:hint="eastAsia" w:ascii="仿宋_GB2312" w:hAnsi="仿宋_GB2312" w:eastAsia="仿宋_GB2312" w:cs="仿宋_GB2312"/>
          <w:b/>
          <w:bCs/>
          <w:color w:val="0D0D0D" w:themeColor="text1" w:themeTint="F2"/>
          <w:sz w:val="32"/>
          <w:szCs w:val="32"/>
          <w14:textFill>
            <w14:solidFill>
              <w14:schemeClr w14:val="tx1">
                <w14:lumMod w14:val="95000"/>
                <w14:lumOff w14:val="5000"/>
              </w14:schemeClr>
            </w14:solidFill>
          </w14:textFill>
        </w:rPr>
        <w:t>主动作为。</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聚焦关键环节，开展全天候监督检查，确保各项防控措施严格落实。</w:t>
      </w:r>
      <w:r>
        <w:rPr>
          <w:rFonts w:hint="eastAsia" w:ascii="仿宋_GB2312" w:hAnsi="仿宋_GB2312" w:eastAsia="仿宋_GB2312" w:cs="仿宋_GB2312"/>
          <w:color w:val="0D0D0D" w:themeColor="text1" w:themeTint="F2"/>
          <w:sz w:val="32"/>
          <w:szCs w:val="32"/>
          <w:lang w:val="en-US" w:eastAsia="zh-Hans"/>
          <w14:textFill>
            <w14:solidFill>
              <w14:schemeClr w14:val="tx1">
                <w14:lumMod w14:val="95000"/>
                <w14:lumOff w14:val="5000"/>
              </w14:schemeClr>
            </w14:solidFill>
          </w14:textFill>
        </w:rPr>
        <w:t>二是</w:t>
      </w:r>
      <w:r>
        <w:rPr>
          <w:rFonts w:hint="eastAsia" w:ascii="仿宋_GB2312" w:hAnsi="仿宋_GB2312" w:eastAsia="仿宋_GB2312" w:cs="仿宋_GB2312"/>
          <w:b w:val="0"/>
          <w:bCs w:val="0"/>
          <w:color w:val="0D0D0D" w:themeColor="text1" w:themeTint="F2"/>
          <w:kern w:val="0"/>
          <w:sz w:val="32"/>
          <w:szCs w:val="32"/>
          <w14:textFill>
            <w14:solidFill>
              <w14:schemeClr w14:val="tx1">
                <w14:lumMod w14:val="95000"/>
                <w14:lumOff w14:val="5000"/>
              </w14:schemeClr>
            </w14:solidFill>
          </w14:textFill>
        </w:rPr>
        <w:t>制定完善工作方案及相关制度预案，构建科学防控机制</w:t>
      </w:r>
      <w:r>
        <w:rPr>
          <w:rFonts w:hint="eastAsia" w:ascii="仿宋_GB2312" w:hAnsi="仿宋_GB2312" w:eastAsia="仿宋_GB2312" w:cs="仿宋_GB2312"/>
          <w:b w:val="0"/>
          <w:bCs w:val="0"/>
          <w:color w:val="0D0D0D" w:themeColor="text1" w:themeTint="F2"/>
          <w:kern w:val="0"/>
          <w:sz w:val="32"/>
          <w:szCs w:val="32"/>
          <w:lang w:eastAsia="zh-CN"/>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结合学校实际，不断</w:t>
      </w:r>
      <w:r>
        <w:rPr>
          <w:rFonts w:hint="eastAsia" w:ascii="仿宋_GB2312" w:hAnsi="仿宋_GB2312" w:eastAsia="仿宋_GB2312" w:cs="仿宋_GB2312"/>
          <w:bCs/>
          <w:color w:val="0D0D0D" w:themeColor="text1" w:themeTint="F2"/>
          <w:sz w:val="32"/>
          <w:szCs w:val="32"/>
          <w14:textFill>
            <w14:solidFill>
              <w14:schemeClr w14:val="tx1">
                <w14:lumMod w14:val="95000"/>
                <w14:lumOff w14:val="5000"/>
              </w14:schemeClr>
            </w14:solidFill>
          </w14:textFill>
        </w:rPr>
        <w:t>完善疫情防控期间的食堂、大门管理、</w:t>
      </w:r>
      <w:r>
        <w:rPr>
          <w:rFonts w:hint="eastAsia" w:ascii="仿宋_GB2312" w:hAnsi="仿宋_GB2312" w:eastAsia="仿宋_GB2312" w:cs="仿宋_GB2312"/>
          <w:bCs/>
          <w:color w:val="0D0D0D" w:themeColor="text1" w:themeTint="F2"/>
          <w:sz w:val="32"/>
          <w:szCs w:val="32"/>
          <w:lang w:eastAsia="zh-CN"/>
          <w14:textFill>
            <w14:solidFill>
              <w14:schemeClr w14:val="tx1">
                <w14:lumMod w14:val="95000"/>
                <w14:lumOff w14:val="5000"/>
              </w14:schemeClr>
            </w14:solidFill>
          </w14:textFill>
        </w:rPr>
        <w:t>医疗防控、</w:t>
      </w:r>
      <w:r>
        <w:rPr>
          <w:rFonts w:hint="eastAsia" w:ascii="仿宋_GB2312" w:hAnsi="仿宋_GB2312" w:eastAsia="仿宋_GB2312" w:cs="仿宋_GB2312"/>
          <w:bCs/>
          <w:color w:val="0D0D0D" w:themeColor="text1" w:themeTint="F2"/>
          <w:sz w:val="32"/>
          <w:szCs w:val="32"/>
          <w14:textFill>
            <w14:solidFill>
              <w14:schemeClr w14:val="tx1">
                <w14:lumMod w14:val="95000"/>
                <w14:lumOff w14:val="5000"/>
              </w14:schemeClr>
            </w14:solidFill>
          </w14:textFill>
        </w:rPr>
        <w:t>校园环境卫生、物业</w:t>
      </w:r>
      <w:r>
        <w:rPr>
          <w:rFonts w:hint="eastAsia" w:ascii="仿宋_GB2312" w:hAnsi="仿宋_GB2312" w:eastAsia="仿宋_GB2312" w:cs="仿宋_GB2312"/>
          <w:bCs/>
          <w:color w:val="0D0D0D" w:themeColor="text1" w:themeTint="F2"/>
          <w:sz w:val="32"/>
          <w:szCs w:val="32"/>
          <w:lang w:eastAsia="zh-CN"/>
          <w14:textFill>
            <w14:solidFill>
              <w14:schemeClr w14:val="tx1">
                <w14:lumMod w14:val="95000"/>
                <w14:lumOff w14:val="5000"/>
              </w14:schemeClr>
            </w14:solidFill>
          </w14:textFill>
        </w:rPr>
        <w:t>管理</w:t>
      </w:r>
      <w:r>
        <w:rPr>
          <w:rFonts w:hint="eastAsia" w:ascii="仿宋_GB2312" w:hAnsi="仿宋_GB2312" w:eastAsia="仿宋_GB2312" w:cs="仿宋_GB2312"/>
          <w:bCs/>
          <w:color w:val="0D0D0D" w:themeColor="text1" w:themeTint="F2"/>
          <w:sz w:val="32"/>
          <w:szCs w:val="32"/>
          <w14:textFill>
            <w14:solidFill>
              <w14:schemeClr w14:val="tx1">
                <w14:lumMod w14:val="95000"/>
                <w14:lumOff w14:val="5000"/>
              </w14:schemeClr>
            </w14:solidFill>
          </w14:textFill>
        </w:rPr>
        <w:t>和</w:t>
      </w:r>
      <w:r>
        <w:rPr>
          <w:rFonts w:hint="eastAsia" w:ascii="仿宋_GB2312" w:hAnsi="仿宋_GB2312" w:eastAsia="仿宋_GB2312" w:cs="仿宋_GB2312"/>
          <w:bCs/>
          <w:color w:val="0D0D0D" w:themeColor="text1" w:themeTint="F2"/>
          <w:sz w:val="32"/>
          <w:szCs w:val="32"/>
          <w:lang w:eastAsia="zh-CN"/>
          <w14:textFill>
            <w14:solidFill>
              <w14:schemeClr w14:val="tx1">
                <w14:lumMod w14:val="95000"/>
                <w14:lumOff w14:val="5000"/>
              </w14:schemeClr>
            </w14:solidFill>
          </w14:textFill>
        </w:rPr>
        <w:t>疫情物资</w:t>
      </w:r>
      <w:r>
        <w:rPr>
          <w:rFonts w:hint="eastAsia" w:ascii="仿宋_GB2312" w:hAnsi="仿宋_GB2312" w:eastAsia="仿宋_GB2312" w:cs="仿宋_GB2312"/>
          <w:bCs/>
          <w:color w:val="0D0D0D" w:themeColor="text1" w:themeTint="F2"/>
          <w:sz w:val="32"/>
          <w:szCs w:val="32"/>
          <w14:textFill>
            <w14:solidFill>
              <w14:schemeClr w14:val="tx1">
                <w14:lumMod w14:val="95000"/>
                <w14:lumOff w14:val="5000"/>
              </w14:schemeClr>
            </w14:solidFill>
          </w14:textFill>
        </w:rPr>
        <w:t>采购</w:t>
      </w:r>
      <w:r>
        <w:rPr>
          <w:rFonts w:hint="eastAsia" w:ascii="仿宋_GB2312" w:hAnsi="仿宋_GB2312" w:eastAsia="仿宋_GB2312" w:cs="仿宋_GB2312"/>
          <w:bCs/>
          <w:color w:val="0D0D0D" w:themeColor="text1" w:themeTint="F2"/>
          <w:sz w:val="32"/>
          <w:szCs w:val="32"/>
          <w:lang w:eastAsia="zh-CN"/>
          <w14:textFill>
            <w14:solidFill>
              <w14:schemeClr w14:val="tx1">
                <w14:lumMod w14:val="95000"/>
                <w14:lumOff w14:val="5000"/>
              </w14:schemeClr>
            </w14:solidFill>
          </w14:textFill>
        </w:rPr>
        <w:t>工作</w:t>
      </w:r>
      <w:r>
        <w:rPr>
          <w:rFonts w:hint="eastAsia" w:ascii="仿宋_GB2312" w:hAnsi="仿宋_GB2312" w:eastAsia="仿宋_GB2312" w:cs="仿宋_GB2312"/>
          <w:bCs/>
          <w:color w:val="0D0D0D" w:themeColor="text1" w:themeTint="F2"/>
          <w:sz w:val="32"/>
          <w:szCs w:val="32"/>
          <w14:textFill>
            <w14:solidFill>
              <w14:schemeClr w14:val="tx1">
                <w14:lumMod w14:val="95000"/>
                <w14:lumOff w14:val="5000"/>
              </w14:schemeClr>
            </w14:solidFill>
          </w14:textFill>
        </w:rPr>
        <w:t>等</w:t>
      </w:r>
      <w:r>
        <w:rPr>
          <w:rFonts w:hint="eastAsia" w:ascii="仿宋_GB2312" w:hAnsi="仿宋_GB2312" w:eastAsia="仿宋_GB2312" w:cs="仿宋_GB2312"/>
          <w:bCs/>
          <w:color w:val="0D0D0D" w:themeColor="text1" w:themeTint="F2"/>
          <w:sz w:val="32"/>
          <w:szCs w:val="32"/>
          <w:lang w:val="en-US" w:eastAsia="zh-CN"/>
          <w14:textFill>
            <w14:solidFill>
              <w14:schemeClr w14:val="tx1">
                <w14:lumMod w14:val="95000"/>
                <w14:lumOff w14:val="5000"/>
              </w14:schemeClr>
            </w14:solidFill>
          </w14:textFill>
        </w:rPr>
        <w:t>7</w:t>
      </w:r>
      <w:r>
        <w:rPr>
          <w:rFonts w:hint="eastAsia" w:ascii="仿宋_GB2312" w:hAnsi="仿宋_GB2312" w:eastAsia="仿宋_GB2312" w:cs="仿宋_GB2312"/>
          <w:bCs/>
          <w:color w:val="0D0D0D" w:themeColor="text1" w:themeTint="F2"/>
          <w:sz w:val="32"/>
          <w:szCs w:val="32"/>
          <w14:textFill>
            <w14:solidFill>
              <w14:schemeClr w14:val="tx1">
                <w14:lumMod w14:val="95000"/>
                <w14:lumOff w14:val="5000"/>
              </w14:schemeClr>
            </w14:solidFill>
          </w14:textFill>
        </w:rPr>
        <w:t>项工作应急预案，</w:t>
      </w:r>
      <w:r>
        <w:rPr>
          <w:rFonts w:hint="eastAsia" w:ascii="仿宋_GB2312" w:hAnsi="仿宋_GB2312" w:eastAsia="仿宋_GB2312" w:cs="仿宋_GB2312"/>
          <w:color w:val="0D0D0D" w:themeColor="text1" w:themeTint="F2"/>
          <w:kern w:val="0"/>
          <w:sz w:val="32"/>
          <w:szCs w:val="32"/>
          <w14:textFill>
            <w14:solidFill>
              <w14:schemeClr w14:val="tx1">
                <w14:lumMod w14:val="95000"/>
                <w14:lumOff w14:val="5000"/>
              </w14:schemeClr>
            </w14:solidFill>
          </w14:textFill>
        </w:rPr>
        <w:t>建立健全了疫情防控工作体系和应急处置工作体系</w:t>
      </w:r>
      <w:r>
        <w:rPr>
          <w:rFonts w:hint="eastAsia" w:ascii="仿宋_GB2312" w:hAnsi="仿宋_GB2312" w:eastAsia="仿宋_GB2312" w:cs="仿宋_GB2312"/>
          <w:color w:val="0D0D0D" w:themeColor="text1" w:themeTint="F2"/>
          <w:kern w:val="0"/>
          <w:sz w:val="32"/>
          <w:szCs w:val="32"/>
          <w:lang w:eastAsia="zh-CN"/>
          <w14:textFill>
            <w14:solidFill>
              <w14:schemeClr w14:val="tx1">
                <w14:lumMod w14:val="95000"/>
                <w14:lumOff w14:val="5000"/>
              </w14:schemeClr>
            </w14:solidFill>
          </w14:textFill>
        </w:rPr>
        <w:t>。编写广西建设职业技术学院《新冠肺炎校园防控手册》。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bCs/>
          <w:color w:val="0D0D0D" w:themeColor="text1" w:themeTint="F2"/>
          <w:sz w:val="32"/>
          <w:szCs w:val="32"/>
          <w14:textFill>
            <w14:solidFill>
              <w14:schemeClr w14:val="tx1">
                <w14:lumMod w14:val="95000"/>
                <w14:lumOff w14:val="5000"/>
              </w14:schemeClr>
            </w14:solidFill>
          </w14:textFill>
        </w:rPr>
        <w:t>2</w:t>
      </w:r>
      <w:r>
        <w:rPr>
          <w:rFonts w:hint="eastAsia" w:ascii="仿宋_GB2312" w:hAnsi="仿宋_GB2312" w:eastAsia="仿宋_GB2312" w:cs="仿宋_GB2312"/>
          <w:b/>
          <w:bCs/>
          <w:color w:val="0D0D0D" w:themeColor="text1" w:themeTint="F2"/>
          <w:sz w:val="32"/>
          <w:szCs w:val="32"/>
          <w:lang w:val="en-US" w:eastAsia="zh-Hans"/>
          <w14:textFill>
            <w14:solidFill>
              <w14:schemeClr w14:val="tx1">
                <w14:lumMod w14:val="95000"/>
                <w14:lumOff w14:val="5000"/>
              </w14:schemeClr>
            </w14:solidFill>
          </w14:textFill>
        </w:rPr>
        <w:t>.</w:t>
      </w:r>
      <w:r>
        <w:rPr>
          <w:rFonts w:hint="eastAsia" w:ascii="仿宋_GB2312" w:hAnsi="仿宋_GB2312" w:eastAsia="仿宋_GB2312" w:cs="仿宋_GB2312"/>
          <w:b/>
          <w:bCs/>
          <w:color w:val="0D0D0D" w:themeColor="text1" w:themeTint="F2"/>
          <w:sz w:val="32"/>
          <w:szCs w:val="32"/>
          <w14:textFill>
            <w14:solidFill>
              <w14:schemeClr w14:val="tx1">
                <w14:lumMod w14:val="95000"/>
                <w14:lumOff w14:val="5000"/>
              </w14:schemeClr>
            </w14:solidFill>
          </w14:textFill>
        </w:rPr>
        <w:t>坚持靶向施策，下沉一线攻坚，织密疫情联防联控“一张网”。</w:t>
      </w:r>
      <w:r>
        <w:rPr>
          <w:rFonts w:hint="eastAsia" w:ascii="仿宋_GB2312" w:hAnsi="仿宋_GB2312" w:eastAsia="仿宋_GB2312" w:cs="仿宋_GB2312"/>
          <w:b w:val="0"/>
          <w:bCs w:val="0"/>
          <w:color w:val="0D0D0D" w:themeColor="text1" w:themeTint="F2"/>
          <w:sz w:val="32"/>
          <w:szCs w:val="32"/>
          <w:lang w:val="en-US" w:eastAsia="zh-Hans"/>
          <w14:textFill>
            <w14:solidFill>
              <w14:schemeClr w14:val="tx1">
                <w14:lumMod w14:val="95000"/>
                <w14:lumOff w14:val="5000"/>
              </w14:schemeClr>
            </w14:solidFill>
          </w14:textFill>
        </w:rPr>
        <w:t>一是</w:t>
      </w:r>
      <w:r>
        <w:rPr>
          <w:rFonts w:hint="eastAsia" w:ascii="仿宋_GB2312" w:hAnsi="仿宋_GB2312" w:eastAsia="仿宋_GB2312" w:cs="仿宋_GB2312"/>
          <w:b w:val="0"/>
          <w:bCs w:val="0"/>
          <w:color w:val="0D0D0D" w:themeColor="text1" w:themeTint="F2"/>
          <w:sz w:val="32"/>
          <w:szCs w:val="32"/>
          <w:u w:val="none" w:color="000000"/>
          <w14:textFill>
            <w14:solidFill>
              <w14:schemeClr w14:val="tx1">
                <w14:lumMod w14:val="95000"/>
                <w14:lumOff w14:val="5000"/>
              </w14:schemeClr>
            </w14:solidFill>
          </w14:textFill>
        </w:rPr>
        <w:t>严格实行校园封闭式管理，落实体温检测、扫码出入校园、广西健康码亮码出行制度</w:t>
      </w:r>
      <w:r>
        <w:rPr>
          <w:rFonts w:hint="eastAsia" w:ascii="仿宋_GB2312" w:hAnsi="仿宋_GB2312" w:eastAsia="仿宋_GB2312" w:cs="仿宋_GB2312"/>
          <w:b w:val="0"/>
          <w:bCs w:val="0"/>
          <w:color w:val="0D0D0D" w:themeColor="text1" w:themeTint="F2"/>
          <w:sz w:val="32"/>
          <w:szCs w:val="32"/>
          <w:u w:val="none" w:color="000000"/>
          <w:lang w:eastAsia="zh-CN"/>
          <w14:textFill>
            <w14:solidFill>
              <w14:schemeClr w14:val="tx1">
                <w14:lumMod w14:val="95000"/>
                <w14:lumOff w14:val="5000"/>
              </w14:schemeClr>
            </w14:solidFill>
          </w14:textFill>
        </w:rPr>
        <w:t>。</w:t>
      </w:r>
      <w:r>
        <w:rPr>
          <w:rFonts w:hint="eastAsia" w:ascii="仿宋_GB2312" w:hAnsi="仿宋_GB2312" w:eastAsia="仿宋_GB2312" w:cs="仿宋_GB2312"/>
          <w:b w:val="0"/>
          <w:bCs w:val="0"/>
          <w:color w:val="0D0D0D" w:themeColor="text1" w:themeTint="F2"/>
          <w:sz w:val="32"/>
          <w:szCs w:val="32"/>
          <w:u w:val="none" w:color="000000"/>
          <w:lang w:val="en-US" w:eastAsia="zh-Hans"/>
          <w14:textFill>
            <w14:solidFill>
              <w14:schemeClr w14:val="tx1">
                <w14:lumMod w14:val="95000"/>
                <w14:lumOff w14:val="5000"/>
              </w14:schemeClr>
            </w14:solidFill>
          </w14:textFill>
        </w:rPr>
        <w:t>二是</w:t>
      </w:r>
      <w:r>
        <w:rPr>
          <w:rFonts w:hint="eastAsia" w:ascii="仿宋_GB2312" w:hAnsi="仿宋_GB2312" w:eastAsia="仿宋_GB2312" w:cs="仿宋_GB2312"/>
          <w:b w:val="0"/>
          <w:bCs w:val="0"/>
          <w:color w:val="0D0D0D" w:themeColor="text1" w:themeTint="F2"/>
          <w:sz w:val="32"/>
          <w:szCs w:val="32"/>
          <w:u w:val="none" w:color="000000"/>
          <w14:textFill>
            <w14:solidFill>
              <w14:schemeClr w14:val="tx1">
                <w14:lumMod w14:val="95000"/>
                <w14:lumOff w14:val="5000"/>
              </w14:schemeClr>
            </w14:solidFill>
          </w14:textFill>
        </w:rPr>
        <w:t>严格实行报告制度，强化疫情监测工作</w:t>
      </w:r>
      <w:r>
        <w:rPr>
          <w:rFonts w:hint="eastAsia" w:ascii="仿宋_GB2312" w:hAnsi="仿宋_GB2312" w:eastAsia="仿宋_GB2312" w:cs="仿宋_GB2312"/>
          <w:b w:val="0"/>
          <w:bCs w:val="0"/>
          <w:color w:val="0D0D0D" w:themeColor="text1" w:themeTint="F2"/>
          <w:sz w:val="32"/>
          <w:szCs w:val="32"/>
          <w:u w:val="none" w:color="000000"/>
          <w:lang w:eastAsia="zh-CN"/>
          <w14:textFill>
            <w14:solidFill>
              <w14:schemeClr w14:val="tx1">
                <w14:lumMod w14:val="95000"/>
                <w14:lumOff w14:val="5000"/>
              </w14:schemeClr>
            </w14:solidFill>
          </w14:textFill>
        </w:rPr>
        <w:t>。</w:t>
      </w:r>
      <w:r>
        <w:rPr>
          <w:rFonts w:hint="eastAsia" w:ascii="仿宋_GB2312" w:hAnsi="仿宋_GB2312" w:eastAsia="仿宋_GB2312" w:cs="仿宋_GB2312"/>
          <w:b w:val="0"/>
          <w:bCs w:val="0"/>
          <w:color w:val="0D0D0D" w:themeColor="text1" w:themeTint="F2"/>
          <w:sz w:val="32"/>
          <w:szCs w:val="32"/>
          <w:u w:val="none" w:color="000000"/>
          <w:lang w:val="en-US" w:eastAsia="zh-Hans"/>
          <w14:textFill>
            <w14:solidFill>
              <w14:schemeClr w14:val="tx1">
                <w14:lumMod w14:val="95000"/>
                <w14:lumOff w14:val="5000"/>
              </w14:schemeClr>
            </w14:solidFill>
          </w14:textFill>
        </w:rPr>
        <w:t>三是</w:t>
      </w:r>
      <w:r>
        <w:rPr>
          <w:rFonts w:hint="eastAsia" w:ascii="仿宋_GB2312" w:hAnsi="仿宋_GB2312" w:eastAsia="仿宋_GB2312" w:cs="仿宋_GB2312"/>
          <w:b w:val="0"/>
          <w:bCs w:val="0"/>
          <w:color w:val="0D0D0D" w:themeColor="text1" w:themeTint="F2"/>
          <w:sz w:val="32"/>
          <w:szCs w:val="32"/>
          <w14:textFill>
            <w14:solidFill>
              <w14:schemeClr w14:val="tx1">
                <w14:lumMod w14:val="95000"/>
                <w14:lumOff w14:val="5000"/>
              </w14:schemeClr>
            </w14:solidFill>
          </w14:textFill>
        </w:rPr>
        <w:t>严格校园消杀防疫，优化校园环境卫生</w:t>
      </w:r>
      <w:r>
        <w:rPr>
          <w:rFonts w:hint="eastAsia" w:ascii="仿宋_GB2312" w:hAnsi="仿宋_GB2312" w:eastAsia="仿宋_GB2312" w:cs="仿宋_GB2312"/>
          <w:b w:val="0"/>
          <w:bCs w:val="0"/>
          <w:color w:val="0D0D0D" w:themeColor="text1" w:themeTint="F2"/>
          <w:sz w:val="32"/>
          <w:szCs w:val="32"/>
          <w:lang w:eastAsia="zh-CN"/>
          <w14:textFill>
            <w14:solidFill>
              <w14:schemeClr w14:val="tx1">
                <w14:lumMod w14:val="95000"/>
                <w14:lumOff w14:val="5000"/>
              </w14:schemeClr>
            </w14:solidFill>
          </w14:textFill>
        </w:rPr>
        <w:t>。</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截止目前对学校各公共区域消杀工作达到</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12</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00次</w:t>
      </w:r>
      <w:r>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t>以上</w:t>
      </w:r>
      <w:r>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t>，常态化开展2608间学生宿舍以及220间教室的消杀工作，第一时间对发热区域进行消杀处置已达到千次。</w:t>
      </w:r>
      <w:r>
        <w:rPr>
          <w:rFonts w:hint="eastAsia" w:ascii="仿宋_GB2312" w:hAnsi="仿宋_GB2312" w:eastAsia="仿宋_GB2312" w:cs="仿宋_GB2312"/>
          <w:color w:val="0D0D0D" w:themeColor="text1" w:themeTint="F2"/>
          <w:sz w:val="32"/>
          <w:szCs w:val="32"/>
          <w:lang w:val="en-US" w:eastAsia="zh-Hans"/>
          <w14:textFill>
            <w14:solidFill>
              <w14:schemeClr w14:val="tx1">
                <w14:lumMod w14:val="95000"/>
                <w14:lumOff w14:val="5000"/>
              </w14:schemeClr>
            </w14:solidFill>
          </w14:textFill>
        </w:rPr>
        <w:t>四是</w:t>
      </w:r>
      <w:r>
        <w:rPr>
          <w:rFonts w:hint="eastAsia" w:ascii="仿宋_GB2312" w:hAnsi="仿宋_GB2312" w:eastAsia="仿宋_GB2312" w:cs="仿宋_GB2312"/>
          <w:b w:val="0"/>
          <w:bCs w:val="0"/>
          <w:color w:val="0D0D0D" w:themeColor="text1" w:themeTint="F2"/>
          <w:spacing w:val="0"/>
          <w:sz w:val="32"/>
          <w:szCs w:val="32"/>
          <w:lang w:eastAsia="zh-CN"/>
          <w14:textFill>
            <w14:solidFill>
              <w14:schemeClr w14:val="tx1">
                <w14:lumMod w14:val="95000"/>
                <w14:lumOff w14:val="5000"/>
              </w14:schemeClr>
            </w14:solidFill>
          </w14:textFill>
        </w:rPr>
        <w:t>加强饮用水卫生安全管理，确保为学生提供合格的安全饮用水。</w:t>
      </w:r>
      <w:r>
        <w:rPr>
          <w:rFonts w:hint="eastAsia" w:ascii="仿宋_GB2312" w:hAnsi="仿宋_GB2312" w:eastAsia="仿宋_GB2312" w:cs="仿宋_GB2312"/>
          <w:b w:val="0"/>
          <w:bCs w:val="0"/>
          <w:color w:val="0D0D0D" w:themeColor="text1" w:themeTint="F2"/>
          <w:spacing w:val="0"/>
          <w:sz w:val="32"/>
          <w:szCs w:val="32"/>
          <w:u w:color="000000"/>
          <w:lang w:eastAsia="zh-CN"/>
          <w14:textFill>
            <w14:solidFill>
              <w14:schemeClr w14:val="tx1">
                <w14:lumMod w14:val="95000"/>
                <w14:lumOff w14:val="5000"/>
              </w14:schemeClr>
            </w14:solidFill>
          </w14:textFill>
        </w:rPr>
        <w:t>后勤管理处（安全保卫处）对校园内3个水泵房的6个生活水箱进行了清洗消毒做好食堂消毒保洁，优化饮食环境卫生。</w:t>
      </w:r>
      <w:r>
        <w:rPr>
          <w:rFonts w:hint="eastAsia" w:ascii="仿宋_GB2312" w:hAnsi="仿宋_GB2312" w:eastAsia="仿宋_GB2312" w:cs="仿宋_GB2312"/>
          <w:b w:val="0"/>
          <w:bCs w:val="0"/>
          <w:color w:val="0D0D0D" w:themeColor="text1" w:themeTint="F2"/>
          <w:spacing w:val="0"/>
          <w:sz w:val="32"/>
          <w:szCs w:val="32"/>
          <w:u w:color="000000"/>
          <w:lang w:val="en-US" w:eastAsia="zh-Hans"/>
          <w14:textFill>
            <w14:solidFill>
              <w14:schemeClr w14:val="tx1">
                <w14:lumMod w14:val="95000"/>
                <w14:lumOff w14:val="5000"/>
              </w14:schemeClr>
            </w14:solidFill>
          </w14:textFill>
        </w:rPr>
        <w:t>五是</w:t>
      </w:r>
      <w:r>
        <w:rPr>
          <w:rFonts w:hint="eastAsia" w:ascii="仿宋_GB2312" w:hAnsi="仿宋_GB2312" w:eastAsia="仿宋_GB2312" w:cs="仿宋_GB2312"/>
          <w:b w:val="0"/>
          <w:bCs w:val="0"/>
          <w:color w:val="0D0D0D" w:themeColor="text1" w:themeTint="F2"/>
          <w:spacing w:val="0"/>
          <w:sz w:val="32"/>
          <w:szCs w:val="32"/>
          <w:u w:color="000000"/>
          <w:lang w:eastAsia="zh-CN"/>
          <w14:textFill>
            <w14:solidFill>
              <w14:schemeClr w14:val="tx1">
                <w14:lumMod w14:val="95000"/>
                <w14:lumOff w14:val="5000"/>
              </w14:schemeClr>
            </w14:solidFill>
          </w14:textFill>
        </w:rPr>
        <w:t>印发《新冠肺炎疫情防控食堂管理工作方案》，食堂</w:t>
      </w:r>
      <w:r>
        <w:rPr>
          <w:rFonts w:hint="eastAsia" w:ascii="仿宋_GB2312" w:hAnsi="仿宋_GB2312" w:eastAsia="仿宋_GB2312" w:cs="仿宋_GB2312"/>
          <w:b w:val="0"/>
          <w:bCs w:val="0"/>
          <w:color w:val="0D0D0D" w:themeColor="text1" w:themeTint="F2"/>
          <w:spacing w:val="0"/>
          <w:sz w:val="32"/>
          <w:szCs w:val="32"/>
          <w:lang w:eastAsia="zh-CN"/>
          <w14:textFill>
            <w14:solidFill>
              <w14:schemeClr w14:val="tx1">
                <w14:lumMod w14:val="95000"/>
                <w14:lumOff w14:val="5000"/>
              </w14:schemeClr>
            </w14:solidFill>
          </w14:textFill>
        </w:rPr>
        <w:t>消毒保洁工作实行分层、分区域、分项目网格化管理，详细记录消毒保洁的时间、次数、消毒（保洁）人、检查员等信息。</w:t>
      </w:r>
      <w:r>
        <w:rPr>
          <w:rFonts w:hint="eastAsia" w:ascii="仿宋_GB2312" w:hAnsi="仿宋_GB2312" w:eastAsia="仿宋_GB2312" w:cs="仿宋_GB2312"/>
          <w:b w:val="0"/>
          <w:bCs w:val="0"/>
          <w:color w:val="0D0D0D" w:themeColor="text1" w:themeTint="F2"/>
          <w:spacing w:val="0"/>
          <w:sz w:val="32"/>
          <w:szCs w:val="32"/>
          <w:u w:color="000000"/>
          <w:lang w:eastAsia="zh-CN"/>
          <w14:textFill>
            <w14:solidFill>
              <w14:schemeClr w14:val="tx1">
                <w14:lumMod w14:val="95000"/>
                <w14:lumOff w14:val="5000"/>
              </w14:schemeClr>
            </w14:solidFill>
          </w14:textFill>
        </w:rPr>
        <w:t>做好食堂相关人员健康排查，确保食堂从业人员、食品经营从业人员均持有效健康证明上岗。</w:t>
      </w:r>
      <w:r>
        <w:rPr>
          <w:rFonts w:hint="eastAsia" w:ascii="仿宋_GB2312" w:hAnsi="仿宋_GB2312" w:eastAsia="仿宋_GB2312" w:cs="仿宋_GB2312"/>
          <w:b w:val="0"/>
          <w:bCs w:val="0"/>
          <w:color w:val="0D0D0D" w:themeColor="text1" w:themeTint="F2"/>
          <w:spacing w:val="0"/>
          <w:sz w:val="32"/>
          <w:szCs w:val="32"/>
          <w:u w:color="000000"/>
          <w:lang w:val="en-US" w:eastAsia="zh-Hans"/>
          <w14:textFill>
            <w14:solidFill>
              <w14:schemeClr w14:val="tx1">
                <w14:lumMod w14:val="95000"/>
                <w14:lumOff w14:val="5000"/>
              </w14:schemeClr>
            </w14:solidFill>
          </w14:textFill>
        </w:rPr>
        <w:t>六是</w:t>
      </w:r>
      <w:r>
        <w:rPr>
          <w:rFonts w:hint="eastAsia" w:ascii="仿宋_GB2312" w:hAnsi="仿宋_GB2312" w:eastAsia="仿宋_GB2312" w:cs="仿宋_GB2312"/>
          <w:b w:val="0"/>
          <w:bCs w:val="0"/>
          <w:color w:val="0D0D0D" w:themeColor="text1" w:themeTint="F2"/>
          <w:kern w:val="0"/>
          <w:sz w:val="32"/>
          <w:szCs w:val="32"/>
          <w14:textFill>
            <w14:solidFill>
              <w14:schemeClr w14:val="tx1">
                <w14:lumMod w14:val="95000"/>
                <w14:lumOff w14:val="5000"/>
              </w14:schemeClr>
            </w14:solidFill>
          </w14:textFill>
        </w:rPr>
        <w:t>加强防控物资管理，加强应急处置力度</w:t>
      </w:r>
      <w:r>
        <w:rPr>
          <w:rFonts w:hint="eastAsia" w:ascii="仿宋_GB2312" w:hAnsi="仿宋_GB2312" w:eastAsia="仿宋_GB2312" w:cs="仿宋_GB2312"/>
          <w:b w:val="0"/>
          <w:bCs w:val="0"/>
          <w:color w:val="0D0D0D" w:themeColor="text1" w:themeTint="F2"/>
          <w:kern w:val="0"/>
          <w:sz w:val="32"/>
          <w:szCs w:val="32"/>
          <w:lang w:eastAsia="zh-CN"/>
          <w14:textFill>
            <w14:solidFill>
              <w14:schemeClr w14:val="tx1">
                <w14:lumMod w14:val="95000"/>
                <w14:lumOff w14:val="5000"/>
              </w14:schemeClr>
            </w14:solidFill>
          </w14:textFill>
        </w:rPr>
        <w:t>。</w:t>
      </w:r>
      <w:r>
        <w:rPr>
          <w:rFonts w:hint="eastAsia" w:ascii="仿宋_GB2312" w:hAnsi="仿宋_GB2312" w:eastAsia="仿宋_GB2312" w:cs="仿宋_GB2312"/>
          <w:b w:val="0"/>
          <w:bCs w:val="0"/>
          <w:color w:val="0D0D0D" w:themeColor="text1" w:themeTint="F2"/>
          <w:kern w:val="0"/>
          <w:sz w:val="32"/>
          <w:szCs w:val="32"/>
          <w:lang w:val="en-US" w:eastAsia="zh-Hans"/>
          <w14:textFill>
            <w14:solidFill>
              <w14:schemeClr w14:val="tx1">
                <w14:lumMod w14:val="95000"/>
                <w14:lumOff w14:val="5000"/>
              </w14:schemeClr>
            </w14:solidFill>
          </w14:textFill>
        </w:rPr>
        <w:t>七是</w:t>
      </w:r>
      <w:r>
        <w:rPr>
          <w:rFonts w:hint="eastAsia" w:ascii="仿宋_GB2312" w:hAnsi="仿宋_GB2312" w:eastAsia="仿宋_GB2312" w:cs="仿宋_GB2312"/>
          <w:b w:val="0"/>
          <w:bCs w:val="0"/>
          <w:color w:val="0D0D0D" w:themeColor="text1" w:themeTint="F2"/>
          <w:spacing w:val="0"/>
          <w:sz w:val="32"/>
          <w:szCs w:val="32"/>
          <w:u w:color="000000"/>
          <w:lang w:eastAsia="zh-CN"/>
          <w14:textFill>
            <w14:solidFill>
              <w14:schemeClr w14:val="tx1">
                <w14:lumMod w14:val="95000"/>
                <w14:lumOff w14:val="5000"/>
              </w14:schemeClr>
            </w14:solidFill>
          </w14:textFill>
        </w:rPr>
        <w:t>切实做好防疫物资储备工作。后勤管理处（安全保卫处）积极做好测温设备、口罩、消毒液、</w:t>
      </w:r>
      <w:r>
        <w:rPr>
          <w:rFonts w:hint="eastAsia" w:ascii="仿宋_GB2312" w:hAnsi="仿宋_GB2312" w:eastAsia="仿宋_GB2312" w:cs="仿宋_GB2312"/>
          <w:b w:val="0"/>
          <w:bCs w:val="0"/>
          <w:color w:val="0D0D0D" w:themeColor="text1" w:themeTint="F2"/>
          <w:spacing w:val="0"/>
          <w:sz w:val="32"/>
          <w:szCs w:val="32"/>
          <w:lang w:eastAsia="zh-CN"/>
          <w14:textFill>
            <w14:solidFill>
              <w14:schemeClr w14:val="tx1">
                <w14:lumMod w14:val="95000"/>
                <w14:lumOff w14:val="5000"/>
              </w14:schemeClr>
            </w14:solidFill>
          </w14:textFill>
        </w:rPr>
        <w:t>免洗手消毒凝胶、电子测温枪、一次性医用检查手套等防疫物资储备的管理工作</w:t>
      </w:r>
      <w:r>
        <w:rPr>
          <w:rFonts w:hint="eastAsia" w:ascii="仿宋_GB2312" w:hAnsi="仿宋_GB2312" w:eastAsia="仿宋_GB2312" w:cs="仿宋_GB2312"/>
          <w:b w:val="0"/>
          <w:bCs w:val="0"/>
          <w:color w:val="0D0D0D" w:themeColor="text1" w:themeTint="F2"/>
          <w:spacing w:val="0"/>
          <w:sz w:val="32"/>
          <w:szCs w:val="32"/>
          <w:u w:color="000000"/>
          <w:lang w:eastAsia="zh-CN"/>
          <w14:textFill>
            <w14:solidFill>
              <w14:schemeClr w14:val="tx1">
                <w14:lumMod w14:val="95000"/>
                <w14:lumOff w14:val="5000"/>
              </w14:schemeClr>
            </w14:solidFill>
          </w14:textFill>
        </w:rPr>
        <w:t>。</w:t>
      </w:r>
      <w:r>
        <w:rPr>
          <w:rFonts w:hint="eastAsia" w:ascii="仿宋_GB2312" w:hAnsi="仿宋_GB2312" w:eastAsia="仿宋_GB2312" w:cs="仿宋_GB2312"/>
          <w:b w:val="0"/>
          <w:bCs w:val="0"/>
          <w:color w:val="0D0D0D" w:themeColor="text1" w:themeTint="F2"/>
          <w:kern w:val="0"/>
          <w:sz w:val="32"/>
          <w:szCs w:val="32"/>
          <w:lang w:eastAsia="zh-CN"/>
          <w14:textFill>
            <w14:solidFill>
              <w14:schemeClr w14:val="tx1">
                <w14:lumMod w14:val="95000"/>
                <w14:lumOff w14:val="5000"/>
              </w14:schemeClr>
            </w14:solidFill>
          </w14:textFill>
        </w:rPr>
        <w:t>今年</w:t>
      </w:r>
      <w:r>
        <w:rPr>
          <w:rFonts w:hint="eastAsia" w:ascii="仿宋_GB2312" w:hAnsi="仿宋_GB2312" w:eastAsia="仿宋_GB2312" w:cs="仿宋_GB2312"/>
          <w:b w:val="0"/>
          <w:bCs w:val="0"/>
          <w:color w:val="0D0D0D" w:themeColor="text1" w:themeTint="F2"/>
          <w:sz w:val="32"/>
          <w:szCs w:val="32"/>
          <w14:textFill>
            <w14:solidFill>
              <w14:schemeClr w14:val="tx1">
                <w14:lumMod w14:val="95000"/>
                <w14:lumOff w14:val="5000"/>
              </w14:schemeClr>
            </w14:solidFill>
          </w14:textFill>
        </w:rPr>
        <w:t>完成7批次近200万元的防疫物资（口罩80余万个、消毒剂10余吨、洗手液6000余瓶、速干手消毒剂6000余瓶、玻璃体温计6000余支、大型测温仪4台、防护服等）采购、验收和入库管理工作。</w:t>
      </w:r>
      <w:r>
        <w:rPr>
          <w:rFonts w:hint="eastAsia" w:ascii="仿宋_GB2312" w:hAnsi="仿宋_GB2312" w:eastAsia="仿宋_GB2312" w:cs="仿宋_GB2312"/>
          <w:b w:val="0"/>
          <w:bCs w:val="0"/>
          <w:color w:val="0D0D0D" w:themeColor="text1" w:themeTint="F2"/>
          <w:spacing w:val="0"/>
          <w:kern w:val="0"/>
          <w:sz w:val="32"/>
          <w:szCs w:val="32"/>
          <w14:textFill>
            <w14:solidFill>
              <w14:schemeClr w14:val="tx1">
                <w14:lumMod w14:val="95000"/>
                <w14:lumOff w14:val="5000"/>
              </w14:schemeClr>
            </w14:solidFill>
          </w14:textFill>
        </w:rPr>
        <w:t>制定防疫物资管理台账，明确专人管理防疫物资。</w:t>
      </w:r>
      <w:r>
        <w:rPr>
          <w:rFonts w:hint="eastAsia" w:ascii="仿宋_GB2312" w:hAnsi="仿宋_GB2312" w:eastAsia="仿宋_GB2312" w:cs="仿宋_GB2312"/>
          <w:b w:val="0"/>
          <w:bCs w:val="0"/>
          <w:color w:val="0D0D0D" w:themeColor="text1" w:themeTint="F2"/>
          <w:spacing w:val="0"/>
          <w:sz w:val="32"/>
          <w:szCs w:val="32"/>
          <w:lang w:val="en-US" w:eastAsia="zh-Hans"/>
          <w14:textFill>
            <w14:solidFill>
              <w14:schemeClr w14:val="tx1">
                <w14:lumMod w14:val="95000"/>
                <w14:lumOff w14:val="5000"/>
              </w14:schemeClr>
            </w14:solidFill>
          </w14:textFill>
        </w:rPr>
        <w:t>八是</w:t>
      </w:r>
      <w:r>
        <w:rPr>
          <w:rFonts w:hint="eastAsia" w:ascii="仿宋_GB2312" w:hAnsi="仿宋_GB2312" w:eastAsia="仿宋_GB2312" w:cs="仿宋_GB2312"/>
          <w:b w:val="0"/>
          <w:bCs w:val="0"/>
          <w:color w:val="0D0D0D" w:themeColor="text1" w:themeTint="F2"/>
          <w:spacing w:val="0"/>
          <w:sz w:val="32"/>
          <w:szCs w:val="32"/>
          <w:lang w:val="en-US" w:eastAsia="zh-CN"/>
          <w14:textFill>
            <w14:solidFill>
              <w14:schemeClr w14:val="tx1">
                <w14:lumMod w14:val="95000"/>
                <w14:lumOff w14:val="5000"/>
              </w14:schemeClr>
            </w14:solidFill>
          </w14:textFill>
        </w:rPr>
        <w:t>牵头做好校园临时隔离室的管理工作</w:t>
      </w:r>
      <w:r>
        <w:rPr>
          <w:rFonts w:hint="eastAsia" w:ascii="仿宋_GB2312" w:hAnsi="仿宋_GB2312" w:eastAsia="仿宋_GB2312" w:cs="仿宋_GB2312"/>
          <w:b w:val="0"/>
          <w:bCs w:val="0"/>
          <w:color w:val="0D0D0D" w:themeColor="text1" w:themeTint="F2"/>
          <w:spacing w:val="0"/>
          <w:sz w:val="32"/>
          <w:szCs w:val="32"/>
          <w:lang w:eastAsia="zh-CN"/>
          <w14:textFill>
            <w14:solidFill>
              <w14:schemeClr w14:val="tx1">
                <w14:lumMod w14:val="95000"/>
                <w14:lumOff w14:val="5000"/>
              </w14:schemeClr>
            </w14:solidFill>
          </w14:textFill>
        </w:rPr>
        <w:t>学校投入</w:t>
      </w:r>
      <w:r>
        <w:rPr>
          <w:rFonts w:hint="eastAsia" w:ascii="仿宋_GB2312" w:hAnsi="仿宋_GB2312" w:eastAsia="仿宋_GB2312" w:cs="仿宋_GB2312"/>
          <w:b w:val="0"/>
          <w:bCs w:val="0"/>
          <w:color w:val="0D0D0D" w:themeColor="text1" w:themeTint="F2"/>
          <w:spacing w:val="0"/>
          <w:sz w:val="32"/>
          <w:szCs w:val="32"/>
          <w:lang w:val="en-US" w:eastAsia="zh-CN"/>
          <w14:textFill>
            <w14:solidFill>
              <w14:schemeClr w14:val="tx1">
                <w14:lumMod w14:val="95000"/>
                <w14:lumOff w14:val="5000"/>
              </w14:schemeClr>
            </w14:solidFill>
          </w14:textFill>
        </w:rPr>
        <w:t>150余万元</w:t>
      </w:r>
      <w:r>
        <w:rPr>
          <w:rFonts w:hint="eastAsia" w:ascii="仿宋_GB2312" w:hAnsi="仿宋_GB2312" w:eastAsia="仿宋_GB2312" w:cs="仿宋_GB2312"/>
          <w:b w:val="0"/>
          <w:bCs w:val="0"/>
          <w:color w:val="0D0D0D" w:themeColor="text1" w:themeTint="F2"/>
          <w:spacing w:val="0"/>
          <w:sz w:val="32"/>
          <w:szCs w:val="32"/>
          <w:lang w:eastAsia="zh-CN"/>
          <w14:textFill>
            <w14:solidFill>
              <w14:schemeClr w14:val="tx1">
                <w14:lumMod w14:val="95000"/>
                <w14:lumOff w14:val="5000"/>
              </w14:schemeClr>
            </w14:solidFill>
          </w14:textFill>
        </w:rPr>
        <w:t>在校园西北面建设了基础设施条件相对完善的隔离室。隔离室现有65个单人隔离房间。</w:t>
      </w:r>
      <w:r>
        <w:rPr>
          <w:rFonts w:hint="eastAsia" w:ascii="仿宋_GB2312" w:hAnsi="仿宋_GB2312" w:eastAsia="仿宋_GB2312" w:cs="仿宋_GB2312"/>
          <w:b w:val="0"/>
          <w:bCs w:val="0"/>
          <w:color w:val="0D0D0D" w:themeColor="text1" w:themeTint="F2"/>
          <w:sz w:val="32"/>
          <w:szCs w:val="32"/>
          <w14:textFill>
            <w14:solidFill>
              <w14:schemeClr w14:val="tx1">
                <w14:lumMod w14:val="95000"/>
                <w14:lumOff w14:val="5000"/>
              </w14:schemeClr>
            </w14:solidFill>
          </w14:textFill>
        </w:rPr>
        <w:t>截止</w:t>
      </w:r>
      <w:r>
        <w:rPr>
          <w:rFonts w:hint="eastAsia" w:ascii="仿宋_GB2312" w:hAnsi="仿宋_GB2312" w:eastAsia="仿宋_GB2312" w:cs="仿宋_GB2312"/>
          <w:b w:val="0"/>
          <w:bCs w:val="0"/>
          <w:color w:val="0D0D0D" w:themeColor="text1" w:themeTint="F2"/>
          <w:sz w:val="32"/>
          <w:szCs w:val="32"/>
          <w:lang w:val="en-US" w:eastAsia="zh-CN"/>
          <w14:textFill>
            <w14:solidFill>
              <w14:schemeClr w14:val="tx1">
                <w14:lumMod w14:val="95000"/>
                <w14:lumOff w14:val="5000"/>
              </w14:schemeClr>
            </w14:solidFill>
          </w14:textFill>
        </w:rPr>
        <w:t>12</w:t>
      </w:r>
      <w:r>
        <w:rPr>
          <w:rFonts w:hint="eastAsia" w:ascii="仿宋_GB2312" w:hAnsi="仿宋_GB2312" w:eastAsia="仿宋_GB2312" w:cs="仿宋_GB2312"/>
          <w:b w:val="0"/>
          <w:bCs w:val="0"/>
          <w:color w:val="0D0D0D" w:themeColor="text1" w:themeTint="F2"/>
          <w:sz w:val="32"/>
          <w:szCs w:val="32"/>
          <w14:textFill>
            <w14:solidFill>
              <w14:schemeClr w14:val="tx1">
                <w14:lumMod w14:val="95000"/>
                <w14:lumOff w14:val="5000"/>
              </w14:schemeClr>
            </w14:solidFill>
          </w14:textFill>
        </w:rPr>
        <w:t>月</w:t>
      </w:r>
      <w:r>
        <w:rPr>
          <w:rFonts w:hint="eastAsia" w:ascii="仿宋_GB2312" w:hAnsi="仿宋_GB2312" w:eastAsia="仿宋_GB2312" w:cs="仿宋_GB2312"/>
          <w:b w:val="0"/>
          <w:bCs w:val="0"/>
          <w:color w:val="0D0D0D" w:themeColor="text1" w:themeTint="F2"/>
          <w:sz w:val="32"/>
          <w:szCs w:val="32"/>
          <w:lang w:val="en-US" w:eastAsia="zh-CN"/>
          <w14:textFill>
            <w14:solidFill>
              <w14:schemeClr w14:val="tx1">
                <w14:lumMod w14:val="95000"/>
                <w14:lumOff w14:val="5000"/>
              </w14:schemeClr>
            </w14:solidFill>
          </w14:textFill>
        </w:rPr>
        <w:t>2</w:t>
      </w:r>
      <w:r>
        <w:rPr>
          <w:rFonts w:hint="eastAsia" w:ascii="仿宋_GB2312" w:hAnsi="仿宋_GB2312" w:eastAsia="仿宋_GB2312" w:cs="仿宋_GB2312"/>
          <w:b w:val="0"/>
          <w:bCs w:val="0"/>
          <w:color w:val="0D0D0D" w:themeColor="text1" w:themeTint="F2"/>
          <w:sz w:val="32"/>
          <w:szCs w:val="32"/>
          <w14:textFill>
            <w14:solidFill>
              <w14:schemeClr w14:val="tx1">
                <w14:lumMod w14:val="95000"/>
                <w14:lumOff w14:val="5000"/>
              </w14:schemeClr>
            </w14:solidFill>
          </w14:textFill>
        </w:rPr>
        <w:t>0日，有效开展送医、隔离观察发热学生</w:t>
      </w:r>
      <w:r>
        <w:rPr>
          <w:rFonts w:hint="eastAsia" w:ascii="仿宋_GB2312" w:hAnsi="仿宋_GB2312" w:eastAsia="仿宋_GB2312" w:cs="仿宋_GB2312"/>
          <w:b w:val="0"/>
          <w:bCs w:val="0"/>
          <w:color w:val="0D0D0D" w:themeColor="text1" w:themeTint="F2"/>
          <w:sz w:val="32"/>
          <w:szCs w:val="32"/>
          <w:lang w:val="en-US" w:eastAsia="zh-CN"/>
          <w14:textFill>
            <w14:solidFill>
              <w14:schemeClr w14:val="tx1">
                <w14:lumMod w14:val="95000"/>
                <w14:lumOff w14:val="5000"/>
              </w14:schemeClr>
            </w14:solidFill>
          </w14:textFill>
        </w:rPr>
        <w:t>600</w:t>
      </w:r>
      <w:r>
        <w:rPr>
          <w:rFonts w:hint="eastAsia" w:ascii="仿宋_GB2312" w:hAnsi="仿宋_GB2312" w:eastAsia="仿宋_GB2312" w:cs="仿宋_GB2312"/>
          <w:b w:val="0"/>
          <w:bCs w:val="0"/>
          <w:color w:val="0D0D0D" w:themeColor="text1" w:themeTint="F2"/>
          <w:sz w:val="32"/>
          <w:szCs w:val="32"/>
          <w14:textFill>
            <w14:solidFill>
              <w14:schemeClr w14:val="tx1">
                <w14:lumMod w14:val="95000"/>
                <w14:lumOff w14:val="5000"/>
              </w14:schemeClr>
            </w14:solidFill>
          </w14:textFill>
        </w:rPr>
        <w:t>人次。</w:t>
      </w:r>
      <w:bookmarkEnd w:id="138"/>
      <w:bookmarkEnd w:id="139"/>
    </w:p>
    <w:p>
      <w:pPr>
        <w:pStyle w:val="3"/>
        <w:bidi w:val="0"/>
        <w:rPr>
          <w:rFonts w:hint="eastAsia"/>
          <w:lang w:val="en-US" w:eastAsia="zh-Hans"/>
        </w:rPr>
      </w:pPr>
      <w:bookmarkStart w:id="147" w:name="_Toc16222"/>
      <w:bookmarkStart w:id="148" w:name="_Toc23879_WPSOffice_Level2"/>
      <w:r>
        <w:rPr>
          <w:rFonts w:hint="eastAsia"/>
          <w:lang w:val="en-US" w:eastAsia="zh-Hans"/>
        </w:rPr>
        <w:t>八</w:t>
      </w:r>
      <w:r>
        <w:rPr>
          <w:rFonts w:hint="eastAsia"/>
          <w:lang w:eastAsia="zh-Hans"/>
        </w:rPr>
        <w:t>、</w:t>
      </w:r>
      <w:r>
        <w:rPr>
          <w:rFonts w:hint="eastAsia"/>
          <w:lang w:val="en-US" w:eastAsia="zh-Hans"/>
        </w:rPr>
        <w:t>挑战与展望</w:t>
      </w:r>
      <w:bookmarkEnd w:id="147"/>
    </w:p>
    <w:p>
      <w:pPr>
        <w:pStyle w:val="4"/>
        <w:bidi w:val="0"/>
        <w:rPr>
          <w:rFonts w:hint="eastAsia"/>
          <w:lang w:val="en-US" w:eastAsia="zh-CN"/>
        </w:rPr>
      </w:pPr>
      <w:bookmarkStart w:id="149" w:name="_Toc3531"/>
      <w:r>
        <w:rPr>
          <w:rFonts w:hint="eastAsia"/>
          <w:lang w:val="en-US" w:eastAsia="zh-CN"/>
        </w:rPr>
        <w:t>（一）挑战</w:t>
      </w:r>
      <w:bookmarkEnd w:id="148"/>
      <w:bookmarkEnd w:id="149"/>
    </w:p>
    <w:p>
      <w:pPr>
        <w:keepNext w:val="0"/>
        <w:keepLines w:val="0"/>
        <w:pageBreakBefore w:val="0"/>
        <w:pBdr>
          <w:bottom w:val="single" w:color="FFFFFF" w:sz="4" w:space="15"/>
        </w:pBdr>
        <w:tabs>
          <w:tab w:val="left" w:pos="7380"/>
        </w:tabs>
        <w:kinsoku/>
        <w:wordWrap/>
        <w:overflowPunct/>
        <w:topLinePunct w:val="0"/>
        <w:autoSpaceDE w:val="0"/>
        <w:autoSpaceDN w:val="0"/>
        <w:bidi w:val="0"/>
        <w:adjustRightInd w:val="0"/>
        <w:snapToGrid w:val="0"/>
        <w:spacing w:line="560" w:lineRule="exact"/>
        <w:ind w:right="0" w:rightChars="0"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color w:val="000000"/>
          <w:sz w:val="32"/>
          <w:szCs w:val="32"/>
          <w:lang w:val="en-US" w:eastAsia="zh-CN"/>
        </w:rPr>
        <w:t>目前，广西建设</w:t>
      </w:r>
      <w:r>
        <w:rPr>
          <w:rFonts w:hint="eastAsia" w:ascii="仿宋_GB2312" w:hAnsi="仿宋_GB2312" w:eastAsia="仿宋_GB2312" w:cs="仿宋_GB2312"/>
          <w:b w:val="0"/>
          <w:bCs w:val="0"/>
          <w:color w:val="000000"/>
          <w:kern w:val="2"/>
          <w:sz w:val="32"/>
          <w:szCs w:val="32"/>
          <w:lang w:val="en-US" w:eastAsia="zh-CN" w:bidi="ar-SA"/>
        </w:rPr>
        <w:t>职业技术学院与国内一流职业类院校相比，还存在一些问题和</w:t>
      </w:r>
      <w:r>
        <w:rPr>
          <w:rFonts w:hint="eastAsia" w:ascii="仿宋_GB2312" w:hAnsi="仿宋_GB2312" w:eastAsia="仿宋_GB2312" w:cs="仿宋_GB2312"/>
          <w:b w:val="0"/>
          <w:bCs w:val="0"/>
          <w:color w:val="auto"/>
          <w:kern w:val="2"/>
          <w:sz w:val="32"/>
          <w:szCs w:val="32"/>
          <w:lang w:val="en-US" w:eastAsia="zh-CN" w:bidi="ar-SA"/>
        </w:rPr>
        <w:t>差距，还有一些深层次的难题需破解。主要表现在：一是办学层次结构比较单一，难以适应地区产业转型升级对高水平技术技能人才的需求；二是</w:t>
      </w:r>
      <w:r>
        <w:rPr>
          <w:rFonts w:hint="eastAsia" w:ascii="仿宋_GB2312" w:hAnsi="仿宋_GB2312" w:eastAsia="仿宋_GB2312" w:cs="仿宋_GB2312"/>
          <w:color w:val="000000"/>
          <w:sz w:val="32"/>
          <w:szCs w:val="32"/>
          <w:lang w:eastAsia="zh-CN"/>
        </w:rPr>
        <w:t>重点专业建设、优质课程建设尚需加大力度</w:t>
      </w:r>
      <w:r>
        <w:rPr>
          <w:rFonts w:hint="eastAsia" w:ascii="仿宋_GB2312" w:hAnsi="仿宋_GB2312" w:eastAsia="仿宋_GB2312" w:cs="仿宋_GB2312"/>
          <w:b w:val="0"/>
          <w:bCs w:val="0"/>
          <w:color w:val="auto"/>
          <w:kern w:val="2"/>
          <w:sz w:val="32"/>
          <w:szCs w:val="32"/>
          <w:lang w:val="en-US" w:eastAsia="zh-CN" w:bidi="ar-SA"/>
        </w:rPr>
        <w:t>，专业群与产业发展的互动调整机制尚未有效建立；三是</w:t>
      </w:r>
      <w:r>
        <w:rPr>
          <w:rFonts w:hint="eastAsia" w:ascii="仿宋_GB2312" w:hAnsi="仿宋_GB2312" w:eastAsia="仿宋_GB2312" w:cs="仿宋_GB2312"/>
          <w:color w:val="000000"/>
          <w:sz w:val="32"/>
          <w:szCs w:val="32"/>
          <w:lang w:eastAsia="zh-CN"/>
        </w:rPr>
        <w:t>人才培养模式、校企深度合作模式尚需进一步探索实践</w:t>
      </w:r>
      <w:r>
        <w:rPr>
          <w:rFonts w:hint="eastAsia" w:ascii="仿宋_GB2312" w:hAnsi="仿宋_GB2312" w:eastAsia="仿宋_GB2312" w:cs="仿宋_GB2312"/>
          <w:b w:val="0"/>
          <w:bCs w:val="0"/>
          <w:color w:val="auto"/>
          <w:kern w:val="2"/>
          <w:sz w:val="32"/>
          <w:szCs w:val="32"/>
          <w:lang w:val="en-US" w:eastAsia="zh-CN" w:bidi="ar-SA"/>
        </w:rPr>
        <w:t>；四是</w:t>
      </w:r>
      <w:r>
        <w:rPr>
          <w:rFonts w:hint="eastAsia" w:ascii="仿宋_GB2312" w:hAnsi="仿宋_GB2312" w:eastAsia="仿宋_GB2312" w:cs="仿宋_GB2312"/>
          <w:color w:val="000000"/>
          <w:sz w:val="32"/>
          <w:szCs w:val="32"/>
        </w:rPr>
        <w:t>标志性成果培育工作亟待加强</w:t>
      </w:r>
      <w:r>
        <w:rPr>
          <w:rFonts w:hint="eastAsia" w:ascii="仿宋_GB2312" w:hAnsi="仿宋_GB2312" w:eastAsia="仿宋_GB2312" w:cs="仿宋_GB2312"/>
          <w:b w:val="0"/>
          <w:bCs w:val="0"/>
          <w:color w:val="auto"/>
          <w:kern w:val="2"/>
          <w:sz w:val="32"/>
          <w:szCs w:val="32"/>
          <w:lang w:val="en-US" w:eastAsia="zh-CN" w:bidi="ar-SA"/>
        </w:rPr>
        <w:t>，整体推进执行力不足；五是建筑行业中有行业权威、国际影响的专业群带头人和有技术攻关能力的高精尖人才较少，学校还缺乏吸引高精尖人才的政策和机制；六是国际化水平有待进一步提升，面向东盟的国际化办学渠道、教师的国际化视野有待拓宽，内涵有待提升；七是办学资源较为紧张，实训、设施设备改造升级任务重，信息化水平有待进一步提高；八是现代化的内部治理水平仍需加强，治理能力有待提升。</w:t>
      </w:r>
    </w:p>
    <w:p>
      <w:pPr>
        <w:pStyle w:val="4"/>
        <w:bidi w:val="0"/>
        <w:rPr>
          <w:rFonts w:hint="eastAsia"/>
          <w:lang w:val="en-US" w:eastAsia="zh-CN"/>
        </w:rPr>
      </w:pPr>
      <w:bookmarkStart w:id="150" w:name="_Toc22018"/>
      <w:bookmarkStart w:id="151" w:name="_Toc17842_WPSOffice_Level2"/>
      <w:r>
        <w:rPr>
          <w:rFonts w:hint="eastAsia"/>
          <w:lang w:val="en-US" w:eastAsia="zh-CN"/>
        </w:rPr>
        <w:t>（二）展望</w:t>
      </w:r>
      <w:bookmarkEnd w:id="150"/>
      <w:bookmarkEnd w:id="151"/>
    </w:p>
    <w:p>
      <w:pPr>
        <w:keepNext w:val="0"/>
        <w:keepLines w:val="0"/>
        <w:pageBreakBefore w:val="0"/>
        <w:widowControl/>
        <w:pBdr>
          <w:bottom w:val="single" w:color="FFFFFF" w:sz="4" w:space="15"/>
        </w:pBdr>
        <w:tabs>
          <w:tab w:val="left" w:pos="7380"/>
        </w:tabs>
        <w:kinsoku/>
        <w:wordWrap/>
        <w:overflowPunct/>
        <w:topLinePunct w:val="0"/>
        <w:autoSpaceDE w:val="0"/>
        <w:autoSpaceDN w:val="0"/>
        <w:bidi w:val="0"/>
        <w:adjustRightInd w:val="0"/>
        <w:snapToGrid w:val="0"/>
        <w:spacing w:line="560" w:lineRule="exact"/>
        <w:ind w:right="0" w:rightChars="0" w:firstLine="640" w:firstLineChars="200"/>
        <w:jc w:val="left"/>
        <w:textAlignment w:val="auto"/>
        <w:rPr>
          <w:rFonts w:hint="eastAsia" w:ascii="仿宋_GB2312" w:hAnsi="仿宋_GB2312" w:eastAsia="仿宋_GB2312" w:cs="仿宋_GB2312"/>
          <w:b/>
          <w:bCs/>
          <w:color w:val="auto"/>
          <w:sz w:val="32"/>
          <w:szCs w:val="32"/>
          <w:lang w:val="en-US" w:eastAsia="zh-Hans"/>
        </w:rPr>
      </w:pPr>
      <w:r>
        <w:rPr>
          <w:rFonts w:hint="eastAsia" w:ascii="仿宋_GB2312" w:hAnsi="仿宋_GB2312" w:eastAsia="仿宋_GB2312" w:cs="仿宋_GB2312"/>
          <w:b w:val="0"/>
          <w:bCs w:val="0"/>
          <w:color w:val="auto"/>
          <w:kern w:val="2"/>
          <w:sz w:val="32"/>
          <w:szCs w:val="32"/>
          <w:lang w:val="en-US" w:eastAsia="zh-CN" w:bidi="ar-SA"/>
        </w:rPr>
        <w:t>下一步，学校将继续以习近平新时代中国特色社会主义思想为指导，以立德树人为根本，落实好总书记在全国教育大会上提出的六个下功夫，用习近平新时代中国特色社会主义思想铸魂育人，围绕“五位一体”总体布局和“四个全面”的战略布局，按照习近平总书记对广西赋予的“三大定位”“五个扎实”新要求，解放思想，改革创新，适应互联网加职业教育新要求，围绕服务行业产业转型升级、区域经济社会发展和国家重大战略，深度参与“一带一路”和粤港澳大湾区建设，推动学校内涵式发展，健全德技并修、工学结合的育人机制，以校企合作为抓手，深化人才培养模式改革，加快高水平学校和高水平专业群建设，重点在技术技能人才培养、创新创业教育、应用技术研发、社会服务、国际化水平等方面进一步加强改革和探索，为建设“壮美广西”、“一带一路”提供坚实的人才保障、智力支持和技术支撑，形成引领建设类职业教育改革发展的“广西建设标准”和“广西建设模式”， 成为全国一流水平、国际化特色鲜明的高水平高职学校。</w:t>
      </w:r>
      <w:bookmarkStart w:id="152" w:name="_Toc22298_WPSOffice_Level1"/>
    </w:p>
    <w:p>
      <w:pPr>
        <w:pStyle w:val="3"/>
        <w:pageBreakBefore w:val="0"/>
        <w:widowControl w:val="0"/>
        <w:kinsoku/>
        <w:wordWrap/>
        <w:overflowPunct/>
        <w:topLinePunct w:val="0"/>
        <w:bidi w:val="0"/>
        <w:snapToGrid/>
        <w:spacing w:before="0" w:beforeLines="0" w:after="0" w:afterLines="0" w:line="560" w:lineRule="exact"/>
        <w:ind w:right="0" w:rightChars="0" w:firstLine="643" w:firstLineChars="200"/>
        <w:textAlignment w:val="auto"/>
        <w:rPr>
          <w:rFonts w:hint="eastAsia" w:ascii="黑体" w:hAnsi="黑体" w:eastAsia="黑体" w:cs="黑体"/>
          <w:b/>
          <w:bCs w:val="0"/>
          <w:color w:val="FF0000"/>
          <w:sz w:val="32"/>
          <w:szCs w:val="32"/>
          <w:lang w:val="en-US" w:eastAsia="zh-Hans"/>
        </w:rPr>
      </w:pPr>
      <w:bookmarkStart w:id="153" w:name="_Toc31956"/>
      <w:r>
        <w:rPr>
          <w:rFonts w:hint="eastAsia" w:ascii="黑体" w:hAnsi="黑体" w:eastAsia="黑体" w:cs="黑体"/>
          <w:b/>
          <w:bCs w:val="0"/>
          <w:color w:val="auto"/>
          <w:sz w:val="32"/>
          <w:szCs w:val="32"/>
          <w:lang w:val="en-US" w:eastAsia="zh-Hans"/>
        </w:rPr>
        <w:t>九</w:t>
      </w:r>
      <w:r>
        <w:rPr>
          <w:rFonts w:hint="eastAsia" w:ascii="黑体" w:hAnsi="黑体" w:eastAsia="黑体" w:cs="黑体"/>
          <w:b/>
          <w:bCs w:val="0"/>
          <w:color w:val="auto"/>
          <w:sz w:val="32"/>
          <w:szCs w:val="32"/>
          <w:lang w:eastAsia="zh-CN"/>
        </w:rPr>
        <w:t>、相关附表</w:t>
      </w:r>
      <w:bookmarkEnd w:id="152"/>
      <w:bookmarkEnd w:id="153"/>
    </w:p>
    <w:p>
      <w:pPr>
        <w:pageBreakBefore w:val="0"/>
        <w:kinsoku/>
        <w:wordWrap/>
        <w:overflowPunct/>
        <w:topLinePunct w:val="0"/>
        <w:bidi w:val="0"/>
        <w:spacing w:line="560" w:lineRule="exact"/>
        <w:ind w:right="0" w:rightChars="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kern w:val="0"/>
          <w:sz w:val="24"/>
          <w:szCs w:val="24"/>
        </w:rPr>
        <w:t>表1：学生发展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
        <w:gridCol w:w="4761"/>
        <w:gridCol w:w="1045"/>
        <w:gridCol w:w="1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817" w:type="dxa"/>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序号</w:t>
            </w:r>
          </w:p>
        </w:tc>
        <w:tc>
          <w:tcPr>
            <w:tcW w:w="4820" w:type="dxa"/>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指标</w:t>
            </w:r>
          </w:p>
        </w:tc>
        <w:tc>
          <w:tcPr>
            <w:tcW w:w="992" w:type="dxa"/>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单位</w:t>
            </w:r>
          </w:p>
        </w:tc>
        <w:tc>
          <w:tcPr>
            <w:tcW w:w="1809" w:type="dxa"/>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17" w:type="dxa"/>
            <w:vMerge w:val="restart"/>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w:t>
            </w:r>
          </w:p>
        </w:tc>
        <w:tc>
          <w:tcPr>
            <w:tcW w:w="4820"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毕业生人数</w:t>
            </w:r>
          </w:p>
        </w:tc>
        <w:tc>
          <w:tcPr>
            <w:tcW w:w="99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w:t>
            </w:r>
          </w:p>
        </w:tc>
        <w:tc>
          <w:tcPr>
            <w:tcW w:w="1809"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sz w:val="24"/>
                <w:szCs w:val="24"/>
              </w:rPr>
              <w:t>510</w:t>
            </w:r>
            <w:r>
              <w:rPr>
                <w:rFonts w:hint="eastAsia" w:asciiTheme="minorEastAsia" w:hAnsiTheme="minorEastAsia" w:eastAsiaTheme="minorEastAsia" w:cstheme="minorEastAsia"/>
                <w:color w:val="000000"/>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7" w:type="dxa"/>
            <w:vMerge w:val="continue"/>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p>
        </w:tc>
        <w:tc>
          <w:tcPr>
            <w:tcW w:w="482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240" w:firstLineChars="10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其中：就业人数</w:t>
            </w:r>
          </w:p>
        </w:tc>
        <w:tc>
          <w:tcPr>
            <w:tcW w:w="992"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w:t>
            </w:r>
          </w:p>
        </w:tc>
        <w:tc>
          <w:tcPr>
            <w:tcW w:w="1809"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sz w:val="24"/>
                <w:szCs w:val="24"/>
              </w:rPr>
              <w:t>4870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7" w:type="dxa"/>
            <w:vMerge w:val="restart"/>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w:t>
            </w:r>
          </w:p>
        </w:tc>
        <w:tc>
          <w:tcPr>
            <w:tcW w:w="482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毕业生就业去向：</w:t>
            </w:r>
          </w:p>
        </w:tc>
        <w:tc>
          <w:tcPr>
            <w:tcW w:w="992"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p>
        </w:tc>
        <w:tc>
          <w:tcPr>
            <w:tcW w:w="1809"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7" w:type="dxa"/>
            <w:vMerge w:val="continue"/>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p>
        </w:tc>
        <w:tc>
          <w:tcPr>
            <w:tcW w:w="482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240" w:firstLineChars="10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A类:留在当地就业人数</w:t>
            </w:r>
          </w:p>
        </w:tc>
        <w:tc>
          <w:tcPr>
            <w:tcW w:w="992"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w:t>
            </w:r>
          </w:p>
        </w:tc>
        <w:tc>
          <w:tcPr>
            <w:tcW w:w="1809"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rPr>
              <w:t>3164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817" w:type="dxa"/>
            <w:vMerge w:val="continue"/>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p>
        </w:tc>
        <w:tc>
          <w:tcPr>
            <w:tcW w:w="482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240" w:firstLineChars="10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B类:到西部地区和东北地区就业人数</w:t>
            </w:r>
          </w:p>
        </w:tc>
        <w:tc>
          <w:tcPr>
            <w:tcW w:w="992"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w:t>
            </w:r>
          </w:p>
        </w:tc>
        <w:tc>
          <w:tcPr>
            <w:tcW w:w="1809"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rPr>
              <w:t>3187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7" w:type="dxa"/>
            <w:vMerge w:val="continue"/>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p>
        </w:tc>
        <w:tc>
          <w:tcPr>
            <w:tcW w:w="482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240" w:firstLineChars="10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C类:到中小微企业等基层服务人数</w:t>
            </w:r>
          </w:p>
        </w:tc>
        <w:tc>
          <w:tcPr>
            <w:tcW w:w="992"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w:t>
            </w:r>
          </w:p>
        </w:tc>
        <w:tc>
          <w:tcPr>
            <w:tcW w:w="1809"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rPr>
              <w:t>2866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7" w:type="dxa"/>
            <w:vMerge w:val="continue"/>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p>
        </w:tc>
        <w:tc>
          <w:tcPr>
            <w:tcW w:w="482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240" w:firstLineChars="10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D类:到500强企业就业人数</w:t>
            </w:r>
          </w:p>
        </w:tc>
        <w:tc>
          <w:tcPr>
            <w:tcW w:w="992"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w:t>
            </w:r>
          </w:p>
        </w:tc>
        <w:tc>
          <w:tcPr>
            <w:tcW w:w="1809"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rPr>
              <w:t>553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7"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w:t>
            </w:r>
          </w:p>
        </w:tc>
        <w:tc>
          <w:tcPr>
            <w:tcW w:w="4820"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lang w:val="en-US" w:eastAsia="zh-CN"/>
              </w:rPr>
              <w:t>初次</w:t>
            </w:r>
            <w:r>
              <w:rPr>
                <w:rFonts w:hint="eastAsia" w:asciiTheme="minorEastAsia" w:hAnsiTheme="minorEastAsia" w:eastAsiaTheme="minorEastAsia" w:cstheme="minorEastAsia"/>
                <w:color w:val="000000"/>
                <w:kern w:val="0"/>
                <w:sz w:val="24"/>
                <w:szCs w:val="24"/>
              </w:rPr>
              <w:t xml:space="preserve">就业率 </w:t>
            </w:r>
          </w:p>
        </w:tc>
        <w:tc>
          <w:tcPr>
            <w:tcW w:w="99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p>
        </w:tc>
        <w:tc>
          <w:tcPr>
            <w:tcW w:w="1809"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sz w:val="24"/>
                <w:szCs w:val="24"/>
              </w:rPr>
              <w:t>95.</w:t>
            </w:r>
            <w:r>
              <w:rPr>
                <w:rFonts w:hint="eastAsia" w:asciiTheme="minorEastAsia" w:hAnsiTheme="minorEastAsia" w:eastAsiaTheme="minorEastAsia" w:cstheme="minorEastAsia"/>
                <w:sz w:val="24"/>
                <w:szCs w:val="24"/>
                <w:lang w:val="en-US" w:eastAsia="zh-CN"/>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817"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w:t>
            </w:r>
          </w:p>
        </w:tc>
        <w:tc>
          <w:tcPr>
            <w:tcW w:w="4820"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理工农医类专业相关度</w:t>
            </w:r>
          </w:p>
        </w:tc>
        <w:tc>
          <w:tcPr>
            <w:tcW w:w="99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p>
        </w:tc>
        <w:tc>
          <w:tcPr>
            <w:tcW w:w="1809"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7"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5</w:t>
            </w:r>
          </w:p>
        </w:tc>
        <w:tc>
          <w:tcPr>
            <w:tcW w:w="4820"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月收入</w:t>
            </w:r>
          </w:p>
        </w:tc>
        <w:tc>
          <w:tcPr>
            <w:tcW w:w="99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元</w:t>
            </w:r>
          </w:p>
        </w:tc>
        <w:tc>
          <w:tcPr>
            <w:tcW w:w="1809"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rPr>
              <w:t>3592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7"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6</w:t>
            </w:r>
          </w:p>
        </w:tc>
        <w:tc>
          <w:tcPr>
            <w:tcW w:w="4820"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自主创业比例</w:t>
            </w:r>
          </w:p>
        </w:tc>
        <w:tc>
          <w:tcPr>
            <w:tcW w:w="99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p>
        </w:tc>
        <w:tc>
          <w:tcPr>
            <w:tcW w:w="1809"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817"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7</w:t>
            </w:r>
          </w:p>
        </w:tc>
        <w:tc>
          <w:tcPr>
            <w:tcW w:w="4820"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雇主满意度</w:t>
            </w:r>
          </w:p>
        </w:tc>
        <w:tc>
          <w:tcPr>
            <w:tcW w:w="99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p>
        </w:tc>
        <w:tc>
          <w:tcPr>
            <w:tcW w:w="1809"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rPr>
              <w:t>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17"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8</w:t>
            </w:r>
          </w:p>
        </w:tc>
        <w:tc>
          <w:tcPr>
            <w:tcW w:w="4820"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毕业三年职位晋升比例</w:t>
            </w:r>
          </w:p>
        </w:tc>
        <w:tc>
          <w:tcPr>
            <w:tcW w:w="99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p>
        </w:tc>
        <w:tc>
          <w:tcPr>
            <w:tcW w:w="1809"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17"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9</w:t>
            </w:r>
          </w:p>
        </w:tc>
        <w:tc>
          <w:tcPr>
            <w:tcW w:w="4820"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母校满意度</w:t>
            </w:r>
          </w:p>
        </w:tc>
        <w:tc>
          <w:tcPr>
            <w:tcW w:w="992"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p>
        </w:tc>
        <w:tc>
          <w:tcPr>
            <w:tcW w:w="1809"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bidi="ar-SA"/>
              </w:rPr>
            </w:pPr>
            <w:r>
              <w:rPr>
                <w:rFonts w:hint="eastAsia" w:asciiTheme="minorEastAsia" w:hAnsiTheme="minorEastAsia" w:eastAsiaTheme="minorEastAsia" w:cstheme="minorEastAsia"/>
                <w:color w:val="000000"/>
                <w:kern w:val="0"/>
                <w:sz w:val="24"/>
                <w:szCs w:val="24"/>
                <w:lang w:val="en-US" w:eastAsia="zh-CN"/>
              </w:rPr>
              <w:t>98</w:t>
            </w:r>
          </w:p>
        </w:tc>
      </w:tr>
    </w:tbl>
    <w:p>
      <w:pPr>
        <w:pageBreakBefore w:val="0"/>
        <w:kinsoku/>
        <w:wordWrap/>
        <w:overflowPunct/>
        <w:topLinePunct w:val="0"/>
        <w:bidi w:val="0"/>
        <w:spacing w:line="560" w:lineRule="exact"/>
        <w:ind w:left="0" w:leftChars="0" w:right="0" w:rightChars="0" w:firstLine="0" w:firstLineChars="0"/>
        <w:textAlignment w:val="auto"/>
        <w:rPr>
          <w:rFonts w:hint="eastAsia" w:ascii="仿宋_GB2312" w:hAnsi="仿宋_GB2312" w:eastAsia="仿宋_GB2312" w:cs="仿宋_GB2312"/>
          <w:b w:val="0"/>
          <w:bCs w:val="0"/>
          <w:color w:val="FF0000"/>
          <w:sz w:val="32"/>
          <w:szCs w:val="32"/>
          <w:lang w:val="en-US" w:eastAsia="zh-Hans"/>
        </w:rPr>
      </w:pPr>
    </w:p>
    <w:p>
      <w:pPr>
        <w:pageBreakBefore w:val="0"/>
        <w:kinsoku/>
        <w:wordWrap/>
        <w:overflowPunct/>
        <w:topLinePunct w:val="0"/>
        <w:bidi w:val="0"/>
        <w:spacing w:line="560" w:lineRule="exact"/>
        <w:ind w:right="0" w:rightChars="0"/>
        <w:jc w:val="center"/>
        <w:textAlignment w:val="auto"/>
        <w:rPr>
          <w:rFonts w:hint="eastAsia" w:asciiTheme="minorEastAsia" w:hAnsiTheme="minorEastAsia" w:eastAsiaTheme="minorEastAsia" w:cstheme="minorEastAsia"/>
          <w:b/>
          <w:color w:val="000000"/>
          <w:kern w:val="0"/>
          <w:sz w:val="24"/>
          <w:szCs w:val="24"/>
        </w:rPr>
      </w:pPr>
    </w:p>
    <w:p>
      <w:pPr>
        <w:pageBreakBefore w:val="0"/>
        <w:kinsoku/>
        <w:wordWrap/>
        <w:overflowPunct/>
        <w:topLinePunct w:val="0"/>
        <w:bidi w:val="0"/>
        <w:spacing w:line="560" w:lineRule="exact"/>
        <w:ind w:right="0" w:rightChars="0"/>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color w:val="000000"/>
          <w:kern w:val="0"/>
          <w:sz w:val="24"/>
          <w:szCs w:val="24"/>
        </w:rPr>
        <w:t>表2：办学条件</w:t>
      </w:r>
    </w:p>
    <w:tbl>
      <w:tblPr>
        <w:tblStyle w:val="13"/>
        <w:tblW w:w="8380" w:type="dxa"/>
        <w:tblInd w:w="-5" w:type="dxa"/>
        <w:tblLayout w:type="autofit"/>
        <w:tblCellMar>
          <w:top w:w="0" w:type="dxa"/>
          <w:left w:w="108" w:type="dxa"/>
          <w:bottom w:w="0" w:type="dxa"/>
          <w:right w:w="108" w:type="dxa"/>
        </w:tblCellMar>
      </w:tblPr>
      <w:tblGrid>
        <w:gridCol w:w="960"/>
        <w:gridCol w:w="4651"/>
        <w:gridCol w:w="1269"/>
        <w:gridCol w:w="1647"/>
      </w:tblGrid>
      <w:tr>
        <w:tblPrEx>
          <w:tblCellMar>
            <w:top w:w="0" w:type="dxa"/>
            <w:left w:w="108" w:type="dxa"/>
            <w:bottom w:w="0" w:type="dxa"/>
            <w:right w:w="108" w:type="dxa"/>
          </w:tblCellMar>
        </w:tblPrEx>
        <w:trPr>
          <w:trHeight w:val="432" w:hRule="atLeast"/>
        </w:trPr>
        <w:tc>
          <w:tcPr>
            <w:tcW w:w="964" w:type="dxa"/>
            <w:tcBorders>
              <w:top w:val="single" w:color="auto" w:sz="4" w:space="0"/>
              <w:left w:val="single" w:color="auto" w:sz="4" w:space="0"/>
              <w:bottom w:val="single" w:color="auto" w:sz="4" w:space="0"/>
              <w:right w:val="single" w:color="auto" w:sz="4" w:space="0"/>
            </w:tcBorders>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序号</w:t>
            </w:r>
          </w:p>
        </w:tc>
        <w:tc>
          <w:tcPr>
            <w:tcW w:w="4678" w:type="dxa"/>
            <w:tcBorders>
              <w:top w:val="single" w:color="auto" w:sz="4" w:space="0"/>
              <w:left w:val="nil"/>
              <w:bottom w:val="single" w:color="auto" w:sz="4" w:space="0"/>
              <w:right w:val="single" w:color="auto" w:sz="4" w:space="0"/>
            </w:tcBorders>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指标</w:t>
            </w:r>
          </w:p>
        </w:tc>
        <w:tc>
          <w:tcPr>
            <w:tcW w:w="1275" w:type="dxa"/>
            <w:tcBorders>
              <w:top w:val="single" w:color="auto" w:sz="4" w:space="0"/>
              <w:left w:val="nil"/>
              <w:bottom w:val="single" w:color="auto" w:sz="4" w:space="0"/>
              <w:right w:val="single" w:color="auto" w:sz="4" w:space="0"/>
            </w:tcBorders>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单位</w:t>
            </w:r>
          </w:p>
        </w:tc>
        <w:tc>
          <w:tcPr>
            <w:tcW w:w="1463" w:type="dxa"/>
            <w:tcBorders>
              <w:top w:val="single" w:color="auto" w:sz="4" w:space="0"/>
              <w:left w:val="nil"/>
              <w:bottom w:val="single" w:color="auto" w:sz="4" w:space="0"/>
              <w:right w:val="single" w:color="auto" w:sz="4" w:space="0"/>
            </w:tcBorders>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2020年</w:t>
            </w:r>
          </w:p>
        </w:tc>
      </w:tr>
      <w:tr>
        <w:tblPrEx>
          <w:tblCellMar>
            <w:top w:w="0" w:type="dxa"/>
            <w:left w:w="108" w:type="dxa"/>
            <w:bottom w:w="0" w:type="dxa"/>
            <w:right w:w="108" w:type="dxa"/>
          </w:tblCellMar>
        </w:tblPrEx>
        <w:trPr>
          <w:trHeight w:val="735" w:hRule="atLeast"/>
        </w:trPr>
        <w:tc>
          <w:tcPr>
            <w:tcW w:w="964"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w:t>
            </w:r>
          </w:p>
        </w:tc>
        <w:tc>
          <w:tcPr>
            <w:tcW w:w="46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生均教学科研仪器设备值</w:t>
            </w:r>
          </w:p>
        </w:tc>
        <w:tc>
          <w:tcPr>
            <w:tcW w:w="127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元/生</w:t>
            </w:r>
          </w:p>
        </w:tc>
        <w:tc>
          <w:tcPr>
            <w:tcW w:w="146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9465.44</w:t>
            </w:r>
          </w:p>
        </w:tc>
      </w:tr>
      <w:tr>
        <w:tblPrEx>
          <w:tblCellMar>
            <w:top w:w="0" w:type="dxa"/>
            <w:left w:w="108" w:type="dxa"/>
            <w:bottom w:w="0" w:type="dxa"/>
            <w:right w:w="108" w:type="dxa"/>
          </w:tblCellMar>
        </w:tblPrEx>
        <w:trPr>
          <w:trHeight w:val="570" w:hRule="atLeast"/>
        </w:trPr>
        <w:tc>
          <w:tcPr>
            <w:tcW w:w="964"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w:t>
            </w:r>
          </w:p>
        </w:tc>
        <w:tc>
          <w:tcPr>
            <w:tcW w:w="46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生均教学及辅助、行政办公用房面积</w:t>
            </w:r>
          </w:p>
        </w:tc>
        <w:tc>
          <w:tcPr>
            <w:tcW w:w="127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m2/生</w:t>
            </w:r>
          </w:p>
        </w:tc>
        <w:tc>
          <w:tcPr>
            <w:tcW w:w="146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11.65</w:t>
            </w:r>
          </w:p>
        </w:tc>
      </w:tr>
      <w:tr>
        <w:tblPrEx>
          <w:tblCellMar>
            <w:top w:w="0" w:type="dxa"/>
            <w:left w:w="108" w:type="dxa"/>
            <w:bottom w:w="0" w:type="dxa"/>
            <w:right w:w="108" w:type="dxa"/>
          </w:tblCellMar>
        </w:tblPrEx>
        <w:trPr>
          <w:trHeight w:val="570" w:hRule="atLeast"/>
        </w:trPr>
        <w:tc>
          <w:tcPr>
            <w:tcW w:w="964"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w:t>
            </w:r>
          </w:p>
        </w:tc>
        <w:tc>
          <w:tcPr>
            <w:tcW w:w="46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生均校内实践教学工位数</w:t>
            </w:r>
          </w:p>
        </w:tc>
        <w:tc>
          <w:tcPr>
            <w:tcW w:w="127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240" w:firstLineChars="10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个/生</w:t>
            </w:r>
          </w:p>
        </w:tc>
        <w:tc>
          <w:tcPr>
            <w:tcW w:w="146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0.41</w:t>
            </w:r>
          </w:p>
        </w:tc>
      </w:tr>
      <w:tr>
        <w:tblPrEx>
          <w:tblCellMar>
            <w:top w:w="0" w:type="dxa"/>
            <w:left w:w="108" w:type="dxa"/>
            <w:bottom w:w="0" w:type="dxa"/>
            <w:right w:w="108" w:type="dxa"/>
          </w:tblCellMar>
        </w:tblPrEx>
        <w:trPr>
          <w:trHeight w:val="570" w:hRule="atLeast"/>
        </w:trPr>
        <w:tc>
          <w:tcPr>
            <w:tcW w:w="964" w:type="dxa"/>
            <w:vMerge w:val="restart"/>
            <w:tcBorders>
              <w:top w:val="nil"/>
              <w:left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w:t>
            </w:r>
          </w:p>
        </w:tc>
        <w:tc>
          <w:tcPr>
            <w:tcW w:w="46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年生均财政拨款水平</w:t>
            </w:r>
          </w:p>
        </w:tc>
        <w:tc>
          <w:tcPr>
            <w:tcW w:w="1275"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元</w:t>
            </w:r>
          </w:p>
        </w:tc>
        <w:tc>
          <w:tcPr>
            <w:tcW w:w="1463"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360" w:firstLineChars="15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8003</w:t>
            </w:r>
          </w:p>
        </w:tc>
      </w:tr>
      <w:tr>
        <w:tblPrEx>
          <w:tblCellMar>
            <w:top w:w="0" w:type="dxa"/>
            <w:left w:w="108" w:type="dxa"/>
            <w:bottom w:w="0" w:type="dxa"/>
            <w:right w:w="108" w:type="dxa"/>
          </w:tblCellMar>
        </w:tblPrEx>
        <w:trPr>
          <w:trHeight w:val="622" w:hRule="atLeast"/>
        </w:trPr>
        <w:tc>
          <w:tcPr>
            <w:tcW w:w="964"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p>
        </w:tc>
        <w:tc>
          <w:tcPr>
            <w:tcW w:w="467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240" w:firstLineChars="10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其中：年生均财政专项经费</w:t>
            </w:r>
          </w:p>
        </w:tc>
        <w:tc>
          <w:tcPr>
            <w:tcW w:w="127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元</w:t>
            </w:r>
          </w:p>
        </w:tc>
        <w:tc>
          <w:tcPr>
            <w:tcW w:w="146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360" w:firstLineChars="15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6561</w:t>
            </w:r>
          </w:p>
        </w:tc>
      </w:tr>
      <w:tr>
        <w:tblPrEx>
          <w:tblCellMar>
            <w:top w:w="0" w:type="dxa"/>
            <w:left w:w="108" w:type="dxa"/>
            <w:bottom w:w="0" w:type="dxa"/>
            <w:right w:w="108" w:type="dxa"/>
          </w:tblCellMar>
        </w:tblPrEx>
        <w:trPr>
          <w:trHeight w:val="570" w:hRule="atLeast"/>
        </w:trPr>
        <w:tc>
          <w:tcPr>
            <w:tcW w:w="964"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5</w:t>
            </w:r>
          </w:p>
        </w:tc>
        <w:tc>
          <w:tcPr>
            <w:tcW w:w="4678"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企业提供的校内实践教学设备值</w:t>
            </w:r>
          </w:p>
        </w:tc>
        <w:tc>
          <w:tcPr>
            <w:tcW w:w="127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万元</w:t>
            </w:r>
          </w:p>
        </w:tc>
        <w:tc>
          <w:tcPr>
            <w:tcW w:w="146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746</w:t>
            </w:r>
          </w:p>
        </w:tc>
      </w:tr>
      <w:tr>
        <w:tblPrEx>
          <w:tblCellMar>
            <w:top w:w="0" w:type="dxa"/>
            <w:left w:w="108" w:type="dxa"/>
            <w:bottom w:w="0" w:type="dxa"/>
            <w:right w:w="108" w:type="dxa"/>
          </w:tblCellMar>
        </w:tblPrEx>
        <w:trPr>
          <w:trHeight w:val="570" w:hRule="atLeast"/>
        </w:trPr>
        <w:tc>
          <w:tcPr>
            <w:tcW w:w="964"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6</w:t>
            </w:r>
          </w:p>
        </w:tc>
        <w:tc>
          <w:tcPr>
            <w:tcW w:w="4678"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年生均校外实训基地实习时间</w:t>
            </w:r>
          </w:p>
        </w:tc>
        <w:tc>
          <w:tcPr>
            <w:tcW w:w="127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人时</w:t>
            </w:r>
          </w:p>
        </w:tc>
        <w:tc>
          <w:tcPr>
            <w:tcW w:w="146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1232</w:t>
            </w:r>
          </w:p>
        </w:tc>
      </w:tr>
      <w:tr>
        <w:tblPrEx>
          <w:tblCellMar>
            <w:top w:w="0" w:type="dxa"/>
            <w:left w:w="108" w:type="dxa"/>
            <w:bottom w:w="0" w:type="dxa"/>
            <w:right w:w="108" w:type="dxa"/>
          </w:tblCellMar>
        </w:tblPrEx>
        <w:trPr>
          <w:trHeight w:val="570" w:hRule="atLeast"/>
        </w:trPr>
        <w:tc>
          <w:tcPr>
            <w:tcW w:w="964" w:type="dxa"/>
            <w:vMerge w:val="restart"/>
            <w:tcBorders>
              <w:top w:val="nil"/>
              <w:left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7</w:t>
            </w:r>
          </w:p>
        </w:tc>
        <w:tc>
          <w:tcPr>
            <w:tcW w:w="4678"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生均企业实习经费补贴</w:t>
            </w:r>
          </w:p>
        </w:tc>
        <w:tc>
          <w:tcPr>
            <w:tcW w:w="127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元</w:t>
            </w:r>
          </w:p>
        </w:tc>
        <w:tc>
          <w:tcPr>
            <w:tcW w:w="146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0</w:t>
            </w:r>
          </w:p>
        </w:tc>
      </w:tr>
      <w:tr>
        <w:tblPrEx>
          <w:tblCellMar>
            <w:top w:w="0" w:type="dxa"/>
            <w:left w:w="108" w:type="dxa"/>
            <w:bottom w:w="0" w:type="dxa"/>
            <w:right w:w="108" w:type="dxa"/>
          </w:tblCellMar>
        </w:tblPrEx>
        <w:trPr>
          <w:trHeight w:val="525" w:hRule="atLeast"/>
        </w:trPr>
        <w:tc>
          <w:tcPr>
            <w:tcW w:w="964"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p>
        </w:tc>
        <w:tc>
          <w:tcPr>
            <w:tcW w:w="4678"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240" w:firstLineChars="10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其中：生均财政专项补贴</w:t>
            </w:r>
          </w:p>
        </w:tc>
        <w:tc>
          <w:tcPr>
            <w:tcW w:w="127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元</w:t>
            </w:r>
          </w:p>
        </w:tc>
        <w:tc>
          <w:tcPr>
            <w:tcW w:w="146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0</w:t>
            </w:r>
          </w:p>
        </w:tc>
      </w:tr>
      <w:tr>
        <w:tblPrEx>
          <w:tblCellMar>
            <w:top w:w="0" w:type="dxa"/>
            <w:left w:w="108" w:type="dxa"/>
            <w:bottom w:w="0" w:type="dxa"/>
            <w:right w:w="108" w:type="dxa"/>
          </w:tblCellMar>
        </w:tblPrEx>
        <w:trPr>
          <w:trHeight w:val="570" w:hRule="atLeast"/>
        </w:trPr>
        <w:tc>
          <w:tcPr>
            <w:tcW w:w="964" w:type="dxa"/>
            <w:vMerge w:val="restart"/>
            <w:tcBorders>
              <w:top w:val="nil"/>
              <w:left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8</w:t>
            </w:r>
          </w:p>
        </w:tc>
        <w:tc>
          <w:tcPr>
            <w:tcW w:w="4678"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生均企业实习责任保险补贴</w:t>
            </w:r>
          </w:p>
        </w:tc>
        <w:tc>
          <w:tcPr>
            <w:tcW w:w="127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元</w:t>
            </w:r>
          </w:p>
        </w:tc>
        <w:tc>
          <w:tcPr>
            <w:tcW w:w="146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46.8</w:t>
            </w:r>
          </w:p>
        </w:tc>
      </w:tr>
      <w:tr>
        <w:tblPrEx>
          <w:tblCellMar>
            <w:top w:w="0" w:type="dxa"/>
            <w:left w:w="108" w:type="dxa"/>
            <w:bottom w:w="0" w:type="dxa"/>
            <w:right w:w="108" w:type="dxa"/>
          </w:tblCellMar>
        </w:tblPrEx>
        <w:trPr>
          <w:trHeight w:val="570" w:hRule="atLeast"/>
        </w:trPr>
        <w:tc>
          <w:tcPr>
            <w:tcW w:w="964"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p>
        </w:tc>
        <w:tc>
          <w:tcPr>
            <w:tcW w:w="4678"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240" w:firstLineChars="10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其中：生均财政专项补贴</w:t>
            </w:r>
          </w:p>
        </w:tc>
        <w:tc>
          <w:tcPr>
            <w:tcW w:w="127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元</w:t>
            </w:r>
          </w:p>
        </w:tc>
        <w:tc>
          <w:tcPr>
            <w:tcW w:w="146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0</w:t>
            </w:r>
          </w:p>
        </w:tc>
      </w:tr>
      <w:tr>
        <w:tblPrEx>
          <w:tblCellMar>
            <w:top w:w="0" w:type="dxa"/>
            <w:left w:w="108" w:type="dxa"/>
            <w:bottom w:w="0" w:type="dxa"/>
            <w:right w:w="108" w:type="dxa"/>
          </w:tblCellMar>
        </w:tblPrEx>
        <w:trPr>
          <w:trHeight w:val="1140" w:hRule="atLeast"/>
        </w:trPr>
        <w:tc>
          <w:tcPr>
            <w:tcW w:w="964"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9</w:t>
            </w:r>
          </w:p>
        </w:tc>
        <w:tc>
          <w:tcPr>
            <w:tcW w:w="7416" w:type="dxa"/>
            <w:gridSpan w:val="3"/>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主要办学经费来源（单选）：</w:t>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省级（</w:t>
            </w:r>
            <w:r>
              <w:rPr>
                <w:rFonts w:hint="default" w:ascii="Arial" w:hAnsi="Arial" w:cs="Arial" w:eastAsiaTheme="minorEastAsia"/>
                <w:color w:val="000000"/>
                <w:kern w:val="0"/>
                <w:sz w:val="24"/>
                <w:szCs w:val="24"/>
              </w:rPr>
              <w:t>√</w:t>
            </w:r>
            <w:r>
              <w:rPr>
                <w:rFonts w:hint="eastAsia" w:asciiTheme="minorEastAsia" w:hAnsiTheme="minorEastAsia" w:eastAsiaTheme="minorEastAsia" w:cstheme="minorEastAsia"/>
                <w:color w:val="000000"/>
                <w:kern w:val="0"/>
                <w:sz w:val="24"/>
                <w:szCs w:val="24"/>
              </w:rPr>
              <w:t>）                    地市级（）</w:t>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行业或企业（）              其他（）</w:t>
            </w:r>
          </w:p>
        </w:tc>
      </w:tr>
    </w:tbl>
    <w:p>
      <w:pPr>
        <w:pageBreakBefore w:val="0"/>
        <w:kinsoku/>
        <w:wordWrap/>
        <w:overflowPunct/>
        <w:topLinePunct w:val="0"/>
        <w:bidi w:val="0"/>
        <w:spacing w:line="560" w:lineRule="exact"/>
        <w:ind w:right="0" w:rightChars="0"/>
        <w:jc w:val="center"/>
        <w:textAlignment w:val="auto"/>
        <w:rPr>
          <w:rFonts w:hint="eastAsia" w:asciiTheme="minorEastAsia" w:hAnsiTheme="minorEastAsia" w:eastAsiaTheme="minorEastAsia" w:cstheme="minorEastAsia"/>
          <w:b/>
          <w:color w:val="000000"/>
          <w:kern w:val="0"/>
          <w:sz w:val="24"/>
          <w:szCs w:val="24"/>
        </w:rPr>
      </w:pPr>
    </w:p>
    <w:p>
      <w:pPr>
        <w:pageBreakBefore w:val="0"/>
        <w:kinsoku/>
        <w:wordWrap/>
        <w:overflowPunct/>
        <w:topLinePunct w:val="0"/>
        <w:bidi w:val="0"/>
        <w:spacing w:line="560" w:lineRule="exact"/>
        <w:ind w:right="0" w:rightChars="0"/>
        <w:jc w:val="center"/>
        <w:textAlignment w:val="auto"/>
        <w:rPr>
          <w:rFonts w:hint="eastAsia" w:asciiTheme="minorEastAsia" w:hAnsiTheme="minorEastAsia" w:eastAsiaTheme="minorEastAsia" w:cstheme="minorEastAsia"/>
          <w:b/>
          <w:color w:val="000000"/>
          <w:kern w:val="0"/>
          <w:sz w:val="24"/>
          <w:szCs w:val="24"/>
        </w:rPr>
      </w:pPr>
    </w:p>
    <w:p>
      <w:pPr>
        <w:pageBreakBefore w:val="0"/>
        <w:kinsoku/>
        <w:wordWrap/>
        <w:overflowPunct/>
        <w:topLinePunct w:val="0"/>
        <w:bidi w:val="0"/>
        <w:spacing w:line="560" w:lineRule="exact"/>
        <w:ind w:right="0" w:rightChars="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kern w:val="0"/>
          <w:sz w:val="24"/>
          <w:szCs w:val="24"/>
        </w:rPr>
        <w:t>表3：教育教学</w:t>
      </w:r>
    </w:p>
    <w:tbl>
      <w:tblPr>
        <w:tblStyle w:val="14"/>
        <w:tblW w:w="93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3600"/>
        <w:gridCol w:w="1600"/>
        <w:gridCol w:w="1040"/>
        <w:gridCol w:w="1280"/>
        <w:gridCol w:w="1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43" w:type="dxa"/>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序号</w:t>
            </w:r>
          </w:p>
        </w:tc>
        <w:tc>
          <w:tcPr>
            <w:tcW w:w="3600" w:type="dxa"/>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指标</w:t>
            </w:r>
          </w:p>
        </w:tc>
        <w:tc>
          <w:tcPr>
            <w:tcW w:w="1600" w:type="dxa"/>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单位</w:t>
            </w:r>
          </w:p>
        </w:tc>
        <w:tc>
          <w:tcPr>
            <w:tcW w:w="3338" w:type="dxa"/>
            <w:gridSpan w:val="3"/>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43" w:type="dxa"/>
            <w:vMerge w:val="restart"/>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w:t>
            </w:r>
          </w:p>
        </w:tc>
        <w:tc>
          <w:tcPr>
            <w:tcW w:w="3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教职员工额定编制数</w:t>
            </w: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w:t>
            </w:r>
          </w:p>
        </w:tc>
        <w:tc>
          <w:tcPr>
            <w:tcW w:w="3338" w:type="dxa"/>
            <w:gridSpan w:val="3"/>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43" w:type="dxa"/>
            <w:vMerge w:val="continue"/>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p>
        </w:tc>
        <w:tc>
          <w:tcPr>
            <w:tcW w:w="3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在岗教职员工总数</w:t>
            </w: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w:t>
            </w:r>
          </w:p>
        </w:tc>
        <w:tc>
          <w:tcPr>
            <w:tcW w:w="3338" w:type="dxa"/>
            <w:gridSpan w:val="3"/>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43" w:type="dxa"/>
            <w:vMerge w:val="continue"/>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p>
        </w:tc>
        <w:tc>
          <w:tcPr>
            <w:tcW w:w="3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其中：专任教师总数</w:t>
            </w: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w:t>
            </w:r>
          </w:p>
        </w:tc>
        <w:tc>
          <w:tcPr>
            <w:tcW w:w="3338" w:type="dxa"/>
            <w:gridSpan w:val="3"/>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675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43"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w:t>
            </w:r>
          </w:p>
        </w:tc>
        <w:tc>
          <w:tcPr>
            <w:tcW w:w="3600"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生师比</w:t>
            </w: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p>
        </w:tc>
        <w:tc>
          <w:tcPr>
            <w:tcW w:w="3338" w:type="dxa"/>
            <w:gridSpan w:val="3"/>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17.94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43"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w:t>
            </w:r>
          </w:p>
        </w:tc>
        <w:tc>
          <w:tcPr>
            <w:tcW w:w="3600"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双师素质专任教师比例</w:t>
            </w: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p>
        </w:tc>
        <w:tc>
          <w:tcPr>
            <w:tcW w:w="3338" w:type="dxa"/>
            <w:gridSpan w:val="3"/>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51.26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43"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w:t>
            </w:r>
          </w:p>
        </w:tc>
        <w:tc>
          <w:tcPr>
            <w:tcW w:w="3600"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高级专业技术职务专任教师比例</w:t>
            </w: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p>
        </w:tc>
        <w:tc>
          <w:tcPr>
            <w:tcW w:w="3338" w:type="dxa"/>
            <w:gridSpan w:val="3"/>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32.15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43" w:type="dxa"/>
            <w:vMerge w:val="restart"/>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5</w:t>
            </w:r>
          </w:p>
        </w:tc>
        <w:tc>
          <w:tcPr>
            <w:tcW w:w="3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企业兼职教师年课时总量</w:t>
            </w: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课时</w:t>
            </w:r>
          </w:p>
        </w:tc>
        <w:tc>
          <w:tcPr>
            <w:tcW w:w="3338" w:type="dxa"/>
            <w:gridSpan w:val="3"/>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21048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43" w:type="dxa"/>
            <w:vMerge w:val="continue"/>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p>
        </w:tc>
        <w:tc>
          <w:tcPr>
            <w:tcW w:w="3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年支付企业兼职教师课酬</w:t>
            </w: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元</w:t>
            </w:r>
          </w:p>
        </w:tc>
        <w:tc>
          <w:tcPr>
            <w:tcW w:w="3338" w:type="dxa"/>
            <w:gridSpan w:val="3"/>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1062469</w:t>
            </w:r>
            <w:r>
              <w:rPr>
                <w:rFonts w:hint="eastAsia" w:asciiTheme="minorEastAsia" w:hAnsiTheme="minorEastAsia" w:eastAsiaTheme="minorEastAsia" w:cstheme="minorEastAsia"/>
                <w:color w:val="000000"/>
                <w:kern w:val="0"/>
                <w:sz w:val="24"/>
                <w:szCs w:val="24"/>
                <w:lang w:val="en-US" w:eastAsia="zh-Hans"/>
              </w:rPr>
              <w:t>.</w:t>
            </w:r>
            <w:r>
              <w:rPr>
                <w:rFonts w:hint="eastAsia" w:asciiTheme="minorEastAsia" w:hAnsiTheme="minorEastAsia" w:eastAsiaTheme="minorEastAsia" w:cstheme="minorEastAsia"/>
                <w:color w:val="000000"/>
                <w:kern w:val="0"/>
                <w:sz w:val="24"/>
                <w:szCs w:val="24"/>
                <w:lang w:eastAsia="zh-Hans"/>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43" w:type="dxa"/>
            <w:vMerge w:val="continue"/>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p>
        </w:tc>
        <w:tc>
          <w:tcPr>
            <w:tcW w:w="3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240" w:firstLineChars="100"/>
              <w:jc w:val="left"/>
              <w:textAlignment w:val="auto"/>
              <w:outlineLvl w:val="9"/>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其中：财政专项补贴</w:t>
            </w: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kern w:val="0"/>
                <w:sz w:val="24"/>
                <w:szCs w:val="24"/>
                <w:highlight w:val="yellow"/>
              </w:rPr>
            </w:pPr>
            <w:r>
              <w:rPr>
                <w:rFonts w:hint="eastAsia" w:asciiTheme="minorEastAsia" w:hAnsiTheme="minorEastAsia" w:eastAsiaTheme="minorEastAsia" w:cstheme="minorEastAsia"/>
                <w:kern w:val="0"/>
                <w:sz w:val="24"/>
                <w:szCs w:val="24"/>
              </w:rPr>
              <w:t>元</w:t>
            </w:r>
          </w:p>
        </w:tc>
        <w:tc>
          <w:tcPr>
            <w:tcW w:w="3338" w:type="dxa"/>
            <w:gridSpan w:val="3"/>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843" w:type="dxa"/>
            <w:vMerge w:val="restart"/>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6</w:t>
            </w:r>
          </w:p>
        </w:tc>
        <w:tc>
          <w:tcPr>
            <w:tcW w:w="3600"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教学计划内课程总数</w:t>
            </w: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门</w:t>
            </w:r>
          </w:p>
        </w:tc>
        <w:tc>
          <w:tcPr>
            <w:tcW w:w="3338" w:type="dxa"/>
            <w:gridSpan w:val="3"/>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43" w:type="dxa"/>
            <w:vMerge w:val="continue"/>
            <w:noWrap/>
            <w:vAlign w:val="center"/>
          </w:tcPr>
          <w:p>
            <w:pPr>
              <w:keepNext w:val="0"/>
              <w:keepLines w:val="0"/>
              <w:pageBreakBefore w:val="0"/>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p>
        </w:tc>
        <w:tc>
          <w:tcPr>
            <w:tcW w:w="3600"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其中：线上开设课程数</w:t>
            </w: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门</w:t>
            </w:r>
          </w:p>
        </w:tc>
        <w:tc>
          <w:tcPr>
            <w:tcW w:w="3338" w:type="dxa"/>
            <w:gridSpan w:val="3"/>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43" w:type="dxa"/>
            <w:vMerge w:val="continue"/>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p>
        </w:tc>
        <w:tc>
          <w:tcPr>
            <w:tcW w:w="3600" w:type="dxa"/>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线上课程课均学生数</w:t>
            </w: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w:t>
            </w:r>
          </w:p>
        </w:tc>
        <w:tc>
          <w:tcPr>
            <w:tcW w:w="3338" w:type="dxa"/>
            <w:gridSpan w:val="3"/>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843" w:type="dxa"/>
            <w:vMerge w:val="restart"/>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7</w:t>
            </w:r>
          </w:p>
        </w:tc>
        <w:tc>
          <w:tcPr>
            <w:tcW w:w="8538" w:type="dxa"/>
            <w:gridSpan w:val="5"/>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教学满意度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3" w:type="dxa"/>
            <w:vMerge w:val="continue"/>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3600" w:type="dxa"/>
            <w:vMerge w:val="restart"/>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（1）思想政治课</w:t>
            </w: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调研课次</w:t>
            </w:r>
          </w:p>
        </w:tc>
        <w:tc>
          <w:tcPr>
            <w:tcW w:w="104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课次</w:t>
            </w:r>
          </w:p>
        </w:tc>
        <w:tc>
          <w:tcPr>
            <w:tcW w:w="128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
                <w:bCs/>
                <w:color w:val="000000"/>
                <w:kern w:val="0"/>
                <w:sz w:val="24"/>
                <w:szCs w:val="24"/>
              </w:rPr>
            </w:pPr>
            <w:r>
              <w:rPr>
                <w:rFonts w:hint="eastAsia" w:asciiTheme="minorEastAsia" w:hAnsiTheme="minorEastAsia" w:eastAsiaTheme="minorEastAsia" w:cstheme="minorEastAsia"/>
                <w:b/>
                <w:bCs/>
                <w:color w:val="000000"/>
                <w:kern w:val="0"/>
                <w:sz w:val="24"/>
                <w:szCs w:val="24"/>
              </w:rPr>
              <w:t>一年级</w:t>
            </w:r>
          </w:p>
        </w:tc>
        <w:tc>
          <w:tcPr>
            <w:tcW w:w="1018"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b/>
                <w:bCs/>
                <w:color w:val="000000"/>
                <w:kern w:val="0"/>
                <w:sz w:val="24"/>
                <w:szCs w:val="24"/>
              </w:rPr>
            </w:pPr>
            <w:r>
              <w:rPr>
                <w:rFonts w:hint="eastAsia" w:asciiTheme="minorEastAsia" w:hAnsiTheme="minorEastAsia" w:eastAsiaTheme="minorEastAsia" w:cstheme="minorEastAsia"/>
                <w:b/>
                <w:bCs/>
                <w:color w:val="000000"/>
                <w:kern w:val="0"/>
                <w:sz w:val="24"/>
                <w:szCs w:val="24"/>
              </w:rPr>
              <w:t>二年级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843" w:type="dxa"/>
            <w:vMerge w:val="continue"/>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3600"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满意度</w:t>
            </w:r>
          </w:p>
        </w:tc>
        <w:tc>
          <w:tcPr>
            <w:tcW w:w="104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240" w:firstLineChars="10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p>
        </w:tc>
        <w:tc>
          <w:tcPr>
            <w:tcW w:w="128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96.8</w:t>
            </w:r>
          </w:p>
        </w:tc>
        <w:tc>
          <w:tcPr>
            <w:tcW w:w="1018"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95.7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3" w:type="dxa"/>
            <w:vMerge w:val="continue"/>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3600" w:type="dxa"/>
            <w:vMerge w:val="restart"/>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（2）公共基础课（不含思想政治课）</w:t>
            </w: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调研课次</w:t>
            </w:r>
          </w:p>
        </w:tc>
        <w:tc>
          <w:tcPr>
            <w:tcW w:w="104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课次</w:t>
            </w:r>
          </w:p>
        </w:tc>
        <w:tc>
          <w:tcPr>
            <w:tcW w:w="128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2</w:t>
            </w:r>
          </w:p>
        </w:tc>
        <w:tc>
          <w:tcPr>
            <w:tcW w:w="1018"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43" w:type="dxa"/>
            <w:vMerge w:val="continue"/>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3600"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满意度</w:t>
            </w:r>
          </w:p>
        </w:tc>
        <w:tc>
          <w:tcPr>
            <w:tcW w:w="104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120" w:firstLineChars="5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p>
        </w:tc>
        <w:tc>
          <w:tcPr>
            <w:tcW w:w="128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both"/>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91.3</w:t>
            </w:r>
          </w:p>
        </w:tc>
        <w:tc>
          <w:tcPr>
            <w:tcW w:w="1018"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90</w:t>
            </w:r>
            <w:bookmarkStart w:id="154" w:name="_GoBack"/>
            <w:bookmarkEnd w:id="15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43" w:type="dxa"/>
            <w:vMerge w:val="continue"/>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3600" w:type="dxa"/>
            <w:vMerge w:val="restart"/>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（3）专业课教学</w:t>
            </w: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调研课次</w:t>
            </w:r>
          </w:p>
        </w:tc>
        <w:tc>
          <w:tcPr>
            <w:tcW w:w="104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课次</w:t>
            </w:r>
          </w:p>
        </w:tc>
        <w:tc>
          <w:tcPr>
            <w:tcW w:w="128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right="0" w:rightChars="0"/>
              <w:jc w:val="both"/>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300</w:t>
            </w:r>
          </w:p>
        </w:tc>
        <w:tc>
          <w:tcPr>
            <w:tcW w:w="1018"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43" w:type="dxa"/>
            <w:vMerge w:val="continue"/>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3600"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16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满意度</w:t>
            </w:r>
          </w:p>
        </w:tc>
        <w:tc>
          <w:tcPr>
            <w:tcW w:w="104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right="0" w:rightChars="0"/>
              <w:jc w:val="both"/>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p>
        </w:tc>
        <w:tc>
          <w:tcPr>
            <w:tcW w:w="128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95.6</w:t>
            </w:r>
          </w:p>
        </w:tc>
        <w:tc>
          <w:tcPr>
            <w:tcW w:w="1018"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94.8</w:t>
            </w:r>
          </w:p>
        </w:tc>
      </w:tr>
    </w:tbl>
    <w:p>
      <w:pPr>
        <w:pageBreakBefore w:val="0"/>
        <w:kinsoku/>
        <w:wordWrap/>
        <w:overflowPunct/>
        <w:topLinePunct w:val="0"/>
        <w:bidi w:val="0"/>
        <w:spacing w:line="560" w:lineRule="exact"/>
        <w:ind w:right="0" w:rightChars="0"/>
        <w:jc w:val="left"/>
        <w:textAlignment w:val="auto"/>
        <w:rPr>
          <w:rFonts w:hint="eastAsia" w:ascii="仿宋_GB2312" w:hAnsi="仿宋_GB2312" w:eastAsia="仿宋_GB2312" w:cs="仿宋_GB2312"/>
          <w:b/>
          <w:kern w:val="0"/>
          <w:sz w:val="32"/>
          <w:szCs w:val="32"/>
        </w:rPr>
      </w:pPr>
    </w:p>
    <w:p>
      <w:pPr>
        <w:pageBreakBefore w:val="0"/>
        <w:kinsoku/>
        <w:wordWrap/>
        <w:overflowPunct/>
        <w:topLinePunct w:val="0"/>
        <w:bidi w:val="0"/>
        <w:spacing w:line="560" w:lineRule="exact"/>
        <w:ind w:right="0" w:rightChars="0"/>
        <w:jc w:val="center"/>
        <w:textAlignment w:val="auto"/>
        <w:rPr>
          <w:rFonts w:hint="eastAsia" w:asciiTheme="minorEastAsia" w:hAnsiTheme="minorEastAsia" w:eastAsiaTheme="minorEastAsia" w:cstheme="minorEastAsia"/>
          <w:b/>
          <w:color w:val="000000"/>
          <w:kern w:val="0"/>
          <w:sz w:val="24"/>
          <w:szCs w:val="24"/>
        </w:rPr>
      </w:pPr>
    </w:p>
    <w:p>
      <w:pPr>
        <w:pageBreakBefore w:val="0"/>
        <w:kinsoku/>
        <w:wordWrap/>
        <w:overflowPunct/>
        <w:topLinePunct w:val="0"/>
        <w:bidi w:val="0"/>
        <w:spacing w:line="560" w:lineRule="exact"/>
        <w:ind w:right="0" w:rightChars="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kern w:val="0"/>
          <w:sz w:val="24"/>
          <w:szCs w:val="24"/>
        </w:rPr>
        <w:t>表4：科研与社会服务</w:t>
      </w:r>
    </w:p>
    <w:tbl>
      <w:tblPr>
        <w:tblStyle w:val="13"/>
        <w:tblW w:w="9720" w:type="dxa"/>
        <w:tblInd w:w="-5" w:type="dxa"/>
        <w:tblLayout w:type="autofit"/>
        <w:tblCellMar>
          <w:top w:w="0" w:type="dxa"/>
          <w:left w:w="108" w:type="dxa"/>
          <w:bottom w:w="0" w:type="dxa"/>
          <w:right w:w="108" w:type="dxa"/>
        </w:tblCellMar>
      </w:tblPr>
      <w:tblGrid>
        <w:gridCol w:w="1080"/>
        <w:gridCol w:w="1056"/>
        <w:gridCol w:w="2417"/>
        <w:gridCol w:w="892"/>
        <w:gridCol w:w="1776"/>
        <w:gridCol w:w="2126"/>
        <w:gridCol w:w="373"/>
      </w:tblGrid>
      <w:tr>
        <w:tblPrEx>
          <w:tblCellMar>
            <w:top w:w="0" w:type="dxa"/>
            <w:left w:w="108" w:type="dxa"/>
            <w:bottom w:w="0" w:type="dxa"/>
            <w:right w:w="108" w:type="dxa"/>
          </w:tblCellMar>
        </w:tblPrEx>
        <w:trPr>
          <w:trHeight w:val="623" w:hRule="atLeast"/>
        </w:trPr>
        <w:tc>
          <w:tcPr>
            <w:tcW w:w="1080" w:type="dxa"/>
            <w:tcBorders>
              <w:top w:val="single" w:color="auto" w:sz="4" w:space="0"/>
              <w:left w:val="single" w:color="auto" w:sz="4" w:space="0"/>
              <w:bottom w:val="single" w:color="auto" w:sz="4" w:space="0"/>
              <w:right w:val="single" w:color="auto" w:sz="4" w:space="0"/>
            </w:tcBorders>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序号</w:t>
            </w:r>
          </w:p>
        </w:tc>
        <w:tc>
          <w:tcPr>
            <w:tcW w:w="3428" w:type="dxa"/>
            <w:gridSpan w:val="2"/>
            <w:tcBorders>
              <w:top w:val="single" w:color="auto" w:sz="4" w:space="0"/>
              <w:left w:val="nil"/>
              <w:bottom w:val="single" w:color="auto" w:sz="4" w:space="0"/>
              <w:right w:val="single" w:color="auto" w:sz="4" w:space="0"/>
            </w:tcBorders>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指标</w:t>
            </w:r>
          </w:p>
        </w:tc>
        <w:tc>
          <w:tcPr>
            <w:tcW w:w="892" w:type="dxa"/>
            <w:tcBorders>
              <w:top w:val="single" w:color="auto" w:sz="4" w:space="0"/>
              <w:left w:val="nil"/>
              <w:bottom w:val="single" w:color="auto" w:sz="4" w:space="0"/>
              <w:right w:val="single" w:color="auto" w:sz="4" w:space="0"/>
            </w:tcBorders>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单位</w:t>
            </w:r>
          </w:p>
        </w:tc>
        <w:tc>
          <w:tcPr>
            <w:tcW w:w="1376" w:type="dxa"/>
            <w:tcBorders>
              <w:top w:val="single" w:color="auto" w:sz="4" w:space="0"/>
              <w:left w:val="nil"/>
              <w:bottom w:val="single" w:color="auto" w:sz="4" w:space="0"/>
              <w:right w:val="single" w:color="auto" w:sz="4" w:space="0"/>
            </w:tcBorders>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2020年</w:t>
            </w:r>
          </w:p>
        </w:tc>
        <w:tc>
          <w:tcPr>
            <w:tcW w:w="2126" w:type="dxa"/>
            <w:tcBorders>
              <w:top w:val="single" w:color="auto" w:sz="4" w:space="0"/>
              <w:left w:val="nil"/>
              <w:bottom w:val="single" w:color="auto" w:sz="4" w:space="0"/>
              <w:right w:val="single" w:color="auto" w:sz="4" w:space="0"/>
            </w:tcBorders>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备注</w:t>
            </w:r>
          </w:p>
        </w:tc>
        <w:tc>
          <w:tcPr>
            <w:tcW w:w="818"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gridAfter w:val="1"/>
          <w:wAfter w:w="818" w:type="dxa"/>
          <w:trHeight w:val="505" w:hRule="atLeast"/>
        </w:trPr>
        <w:tc>
          <w:tcPr>
            <w:tcW w:w="1080" w:type="dxa"/>
            <w:vMerge w:val="restart"/>
            <w:tcBorders>
              <w:top w:val="nil"/>
              <w:left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w:t>
            </w:r>
          </w:p>
        </w:tc>
        <w:tc>
          <w:tcPr>
            <w:tcW w:w="3428"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技术服务到款额</w:t>
            </w:r>
          </w:p>
        </w:tc>
        <w:tc>
          <w:tcPr>
            <w:tcW w:w="89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万元</w:t>
            </w:r>
          </w:p>
        </w:tc>
        <w:tc>
          <w:tcPr>
            <w:tcW w:w="137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95</w:t>
            </w:r>
          </w:p>
        </w:tc>
        <w:tc>
          <w:tcPr>
            <w:tcW w:w="212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gridAfter w:val="1"/>
          <w:wAfter w:w="818" w:type="dxa"/>
          <w:trHeight w:val="1332" w:hRule="atLeast"/>
        </w:trPr>
        <w:tc>
          <w:tcPr>
            <w:tcW w:w="1080"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p>
        </w:tc>
        <w:tc>
          <w:tcPr>
            <w:tcW w:w="3428"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技术服务产生的经济效益</w:t>
            </w:r>
          </w:p>
        </w:tc>
        <w:tc>
          <w:tcPr>
            <w:tcW w:w="89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万元</w:t>
            </w:r>
          </w:p>
        </w:tc>
        <w:tc>
          <w:tcPr>
            <w:tcW w:w="137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0</w:t>
            </w:r>
          </w:p>
        </w:tc>
        <w:tc>
          <w:tcPr>
            <w:tcW w:w="212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提供产生经济效益的企业出具的证明，并盖财务章。</w:t>
            </w:r>
          </w:p>
        </w:tc>
      </w:tr>
      <w:tr>
        <w:tblPrEx>
          <w:tblCellMar>
            <w:top w:w="0" w:type="dxa"/>
            <w:left w:w="108" w:type="dxa"/>
            <w:bottom w:w="0" w:type="dxa"/>
            <w:right w:w="108" w:type="dxa"/>
          </w:tblCellMar>
        </w:tblPrEx>
        <w:trPr>
          <w:gridAfter w:val="1"/>
          <w:wAfter w:w="818" w:type="dxa"/>
          <w:trHeight w:val="685"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w:t>
            </w:r>
          </w:p>
        </w:tc>
        <w:tc>
          <w:tcPr>
            <w:tcW w:w="3428"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纵向科研经费到款额</w:t>
            </w:r>
          </w:p>
        </w:tc>
        <w:tc>
          <w:tcPr>
            <w:tcW w:w="89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万元</w:t>
            </w:r>
          </w:p>
        </w:tc>
        <w:tc>
          <w:tcPr>
            <w:tcW w:w="137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120.1</w:t>
            </w:r>
          </w:p>
        </w:tc>
        <w:tc>
          <w:tcPr>
            <w:tcW w:w="212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gridAfter w:val="1"/>
          <w:wAfter w:w="818" w:type="dxa"/>
          <w:trHeight w:val="679" w:hRule="atLeast"/>
        </w:trPr>
        <w:tc>
          <w:tcPr>
            <w:tcW w:w="108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w:t>
            </w:r>
          </w:p>
        </w:tc>
        <w:tc>
          <w:tcPr>
            <w:tcW w:w="3428"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技术交易到款额</w:t>
            </w:r>
          </w:p>
        </w:tc>
        <w:tc>
          <w:tcPr>
            <w:tcW w:w="89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万元</w:t>
            </w:r>
          </w:p>
        </w:tc>
        <w:tc>
          <w:tcPr>
            <w:tcW w:w="137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720" w:firstLineChars="300"/>
              <w:jc w:val="center"/>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0</w:t>
            </w:r>
          </w:p>
        </w:tc>
        <w:tc>
          <w:tcPr>
            <w:tcW w:w="212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gridAfter w:val="1"/>
          <w:wAfter w:w="818" w:type="dxa"/>
          <w:trHeight w:val="591" w:hRule="atLeast"/>
        </w:trPr>
        <w:tc>
          <w:tcPr>
            <w:tcW w:w="1080" w:type="dxa"/>
            <w:vMerge w:val="restart"/>
            <w:tcBorders>
              <w:top w:val="nil"/>
              <w:left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w:t>
            </w:r>
          </w:p>
        </w:tc>
        <w:tc>
          <w:tcPr>
            <w:tcW w:w="3428"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非学历培训服务</w:t>
            </w:r>
          </w:p>
        </w:tc>
        <w:tc>
          <w:tcPr>
            <w:tcW w:w="89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人日</w:t>
            </w:r>
          </w:p>
        </w:tc>
        <w:tc>
          <w:tcPr>
            <w:tcW w:w="137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115705.5</w:t>
            </w:r>
          </w:p>
        </w:tc>
        <w:tc>
          <w:tcPr>
            <w:tcW w:w="212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gridAfter w:val="1"/>
          <w:wAfter w:w="818" w:type="dxa"/>
          <w:trHeight w:val="570" w:hRule="atLeast"/>
        </w:trPr>
        <w:tc>
          <w:tcPr>
            <w:tcW w:w="1080" w:type="dxa"/>
            <w:vMerge w:val="continue"/>
            <w:tcBorders>
              <w:left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876"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其中</w:t>
            </w:r>
          </w:p>
        </w:tc>
        <w:tc>
          <w:tcPr>
            <w:tcW w:w="255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技术技能培训服务</w:t>
            </w:r>
          </w:p>
        </w:tc>
        <w:tc>
          <w:tcPr>
            <w:tcW w:w="89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人日</w:t>
            </w:r>
          </w:p>
        </w:tc>
        <w:tc>
          <w:tcPr>
            <w:tcW w:w="137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lang w:val="en-US" w:eastAsia="zh-CN"/>
              </w:rPr>
              <w:t>115705.5</w:t>
            </w:r>
          </w:p>
        </w:tc>
        <w:tc>
          <w:tcPr>
            <w:tcW w:w="212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gridAfter w:val="1"/>
          <w:wAfter w:w="818" w:type="dxa"/>
          <w:trHeight w:val="570" w:hRule="atLeast"/>
        </w:trPr>
        <w:tc>
          <w:tcPr>
            <w:tcW w:w="1080" w:type="dxa"/>
            <w:vMerge w:val="continue"/>
            <w:tcBorders>
              <w:left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876"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255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新型职业农民培训服务</w:t>
            </w:r>
          </w:p>
        </w:tc>
        <w:tc>
          <w:tcPr>
            <w:tcW w:w="89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人日</w:t>
            </w:r>
          </w:p>
        </w:tc>
        <w:tc>
          <w:tcPr>
            <w:tcW w:w="137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0</w:t>
            </w:r>
          </w:p>
        </w:tc>
        <w:tc>
          <w:tcPr>
            <w:tcW w:w="212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gridAfter w:val="1"/>
          <w:wAfter w:w="818" w:type="dxa"/>
          <w:trHeight w:val="570" w:hRule="atLeast"/>
        </w:trPr>
        <w:tc>
          <w:tcPr>
            <w:tcW w:w="1080" w:type="dxa"/>
            <w:vMerge w:val="continue"/>
            <w:tcBorders>
              <w:left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876"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255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退役军人培训服务</w:t>
            </w:r>
          </w:p>
        </w:tc>
        <w:tc>
          <w:tcPr>
            <w:tcW w:w="89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人日</w:t>
            </w:r>
          </w:p>
        </w:tc>
        <w:tc>
          <w:tcPr>
            <w:tcW w:w="137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default"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128</w:t>
            </w:r>
          </w:p>
        </w:tc>
        <w:tc>
          <w:tcPr>
            <w:tcW w:w="212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gridAfter w:val="1"/>
          <w:wAfter w:w="818" w:type="dxa"/>
          <w:trHeight w:val="855" w:hRule="atLeast"/>
        </w:trPr>
        <w:tc>
          <w:tcPr>
            <w:tcW w:w="1080" w:type="dxa"/>
            <w:vMerge w:val="continue"/>
            <w:tcBorders>
              <w:left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876"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255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基层社会服务人员培训服务</w:t>
            </w:r>
          </w:p>
        </w:tc>
        <w:tc>
          <w:tcPr>
            <w:tcW w:w="89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人日</w:t>
            </w:r>
          </w:p>
        </w:tc>
        <w:tc>
          <w:tcPr>
            <w:tcW w:w="137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960" w:firstLineChars="400"/>
              <w:jc w:val="left"/>
              <w:textAlignment w:val="auto"/>
              <w:outlineLvl w:val="9"/>
              <w:rPr>
                <w:rFonts w:hint="eastAsia" w:asciiTheme="minorEastAsia" w:hAnsiTheme="minorEastAsia" w:eastAsiaTheme="minorEastAsia" w:cstheme="minorEastAsia"/>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0</w:t>
            </w:r>
          </w:p>
        </w:tc>
        <w:tc>
          <w:tcPr>
            <w:tcW w:w="212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gridAfter w:val="1"/>
          <w:wAfter w:w="818" w:type="dxa"/>
          <w:trHeight w:val="570" w:hRule="atLeast"/>
        </w:trPr>
        <w:tc>
          <w:tcPr>
            <w:tcW w:w="1080"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c>
          <w:tcPr>
            <w:tcW w:w="3428" w:type="dxa"/>
            <w:gridSpan w:val="2"/>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非学历培训到款额</w:t>
            </w:r>
          </w:p>
        </w:tc>
        <w:tc>
          <w:tcPr>
            <w:tcW w:w="892"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万元</w:t>
            </w:r>
          </w:p>
        </w:tc>
        <w:tc>
          <w:tcPr>
            <w:tcW w:w="137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229</w:t>
            </w:r>
            <w:r>
              <w:rPr>
                <w:rFonts w:hint="eastAsia" w:asciiTheme="minorEastAsia" w:hAnsiTheme="minorEastAsia" w:eastAsiaTheme="minorEastAsia" w:cstheme="minorEastAsia"/>
                <w:color w:val="000000"/>
                <w:kern w:val="0"/>
                <w:sz w:val="24"/>
                <w:szCs w:val="24"/>
                <w:lang w:val="en-US" w:eastAsia="zh-Hans"/>
              </w:rPr>
              <w:t>.</w:t>
            </w:r>
            <w:r>
              <w:rPr>
                <w:rFonts w:hint="eastAsia" w:asciiTheme="minorEastAsia" w:hAnsiTheme="minorEastAsia" w:eastAsiaTheme="minorEastAsia" w:cstheme="minorEastAsia"/>
                <w:color w:val="000000"/>
                <w:kern w:val="0"/>
                <w:sz w:val="24"/>
                <w:szCs w:val="24"/>
                <w:lang w:eastAsia="zh-Hans"/>
              </w:rPr>
              <w:t>4085</w:t>
            </w:r>
          </w:p>
        </w:tc>
        <w:tc>
          <w:tcPr>
            <w:tcW w:w="212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r>
    </w:tbl>
    <w:p>
      <w:pPr>
        <w:pageBreakBefore w:val="0"/>
        <w:kinsoku/>
        <w:wordWrap/>
        <w:overflowPunct/>
        <w:topLinePunct w:val="0"/>
        <w:bidi w:val="0"/>
        <w:spacing w:line="560" w:lineRule="exact"/>
        <w:ind w:left="0" w:leftChars="0" w:right="0" w:rightChars="0" w:firstLine="0" w:firstLineChars="0"/>
        <w:jc w:val="both"/>
        <w:textAlignment w:val="auto"/>
        <w:rPr>
          <w:rFonts w:hint="eastAsia" w:ascii="仿宋_GB2312" w:hAnsi="仿宋_GB2312" w:eastAsia="仿宋_GB2312" w:cs="仿宋_GB2312"/>
          <w:b/>
          <w:color w:val="000000"/>
          <w:kern w:val="0"/>
          <w:sz w:val="32"/>
          <w:szCs w:val="32"/>
        </w:rPr>
      </w:pPr>
    </w:p>
    <w:p>
      <w:pPr>
        <w:pageBreakBefore w:val="0"/>
        <w:kinsoku/>
        <w:wordWrap/>
        <w:overflowPunct/>
        <w:topLinePunct w:val="0"/>
        <w:bidi w:val="0"/>
        <w:spacing w:line="560" w:lineRule="exact"/>
        <w:ind w:right="0" w:rightChars="0"/>
        <w:jc w:val="center"/>
        <w:textAlignment w:val="auto"/>
        <w:rPr>
          <w:rFonts w:hint="eastAsia" w:asciiTheme="minorEastAsia" w:hAnsiTheme="minorEastAsia" w:eastAsiaTheme="minorEastAsia" w:cstheme="minorEastAsia"/>
          <w:b/>
          <w:color w:val="000000"/>
          <w:kern w:val="0"/>
          <w:sz w:val="24"/>
          <w:szCs w:val="24"/>
        </w:rPr>
      </w:pPr>
    </w:p>
    <w:p>
      <w:pPr>
        <w:pageBreakBefore w:val="0"/>
        <w:kinsoku/>
        <w:wordWrap/>
        <w:overflowPunct/>
        <w:topLinePunct w:val="0"/>
        <w:bidi w:val="0"/>
        <w:spacing w:line="560" w:lineRule="exact"/>
        <w:ind w:right="0" w:rightChars="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kern w:val="0"/>
          <w:sz w:val="24"/>
          <w:szCs w:val="24"/>
        </w:rPr>
        <w:t>表5：国际交流</w:t>
      </w:r>
    </w:p>
    <w:tbl>
      <w:tblPr>
        <w:tblStyle w:val="13"/>
        <w:tblW w:w="8760" w:type="dxa"/>
        <w:tblInd w:w="-5" w:type="dxa"/>
        <w:tblLayout w:type="autofit"/>
        <w:tblCellMar>
          <w:top w:w="0" w:type="dxa"/>
          <w:left w:w="108" w:type="dxa"/>
          <w:bottom w:w="0" w:type="dxa"/>
          <w:right w:w="108" w:type="dxa"/>
        </w:tblCellMar>
      </w:tblPr>
      <w:tblGrid>
        <w:gridCol w:w="936"/>
        <w:gridCol w:w="2998"/>
        <w:gridCol w:w="1056"/>
        <w:gridCol w:w="1331"/>
        <w:gridCol w:w="2780"/>
      </w:tblGrid>
      <w:tr>
        <w:tblPrEx>
          <w:tblCellMar>
            <w:top w:w="0" w:type="dxa"/>
            <w:left w:w="108" w:type="dxa"/>
            <w:bottom w:w="0" w:type="dxa"/>
            <w:right w:w="108" w:type="dxa"/>
          </w:tblCellMar>
        </w:tblPrEx>
        <w:trPr>
          <w:trHeight w:val="671" w:hRule="atLeast"/>
        </w:trPr>
        <w:tc>
          <w:tcPr>
            <w:tcW w:w="822" w:type="dxa"/>
            <w:tcBorders>
              <w:top w:val="single" w:color="auto" w:sz="4" w:space="0"/>
              <w:left w:val="single" w:color="auto" w:sz="4" w:space="0"/>
              <w:bottom w:val="single" w:color="auto" w:sz="4" w:space="0"/>
              <w:right w:val="single" w:color="auto" w:sz="4" w:space="0"/>
            </w:tcBorders>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序号</w:t>
            </w:r>
          </w:p>
        </w:tc>
        <w:tc>
          <w:tcPr>
            <w:tcW w:w="2998" w:type="dxa"/>
            <w:tcBorders>
              <w:top w:val="single" w:color="auto" w:sz="4" w:space="0"/>
              <w:left w:val="nil"/>
              <w:bottom w:val="single" w:color="auto" w:sz="4" w:space="0"/>
              <w:right w:val="single" w:color="auto" w:sz="4" w:space="0"/>
            </w:tcBorders>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指标</w:t>
            </w:r>
          </w:p>
        </w:tc>
        <w:tc>
          <w:tcPr>
            <w:tcW w:w="829" w:type="dxa"/>
            <w:tcBorders>
              <w:top w:val="single" w:color="auto" w:sz="4" w:space="0"/>
              <w:left w:val="nil"/>
              <w:bottom w:val="single" w:color="auto" w:sz="4" w:space="0"/>
              <w:right w:val="single" w:color="auto" w:sz="4" w:space="0"/>
            </w:tcBorders>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单位</w:t>
            </w:r>
          </w:p>
        </w:tc>
        <w:tc>
          <w:tcPr>
            <w:tcW w:w="1331" w:type="dxa"/>
            <w:tcBorders>
              <w:top w:val="single" w:color="auto" w:sz="4" w:space="0"/>
              <w:left w:val="nil"/>
              <w:bottom w:val="single" w:color="auto" w:sz="4" w:space="0"/>
              <w:right w:val="single" w:color="auto" w:sz="4" w:space="0"/>
            </w:tcBorders>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2020年</w:t>
            </w:r>
          </w:p>
        </w:tc>
        <w:tc>
          <w:tcPr>
            <w:tcW w:w="2780" w:type="dxa"/>
            <w:tcBorders>
              <w:top w:val="single" w:color="auto" w:sz="4" w:space="0"/>
              <w:left w:val="nil"/>
              <w:bottom w:val="single" w:color="auto" w:sz="4" w:space="0"/>
              <w:right w:val="single" w:color="auto" w:sz="4" w:space="0"/>
            </w:tcBorders>
            <w:shd w:val="pct10"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center"/>
              <w:textAlignment w:val="auto"/>
              <w:outlineLvl w:val="9"/>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备注</w:t>
            </w:r>
          </w:p>
        </w:tc>
      </w:tr>
      <w:tr>
        <w:tblPrEx>
          <w:tblCellMar>
            <w:top w:w="0" w:type="dxa"/>
            <w:left w:w="108" w:type="dxa"/>
            <w:bottom w:w="0" w:type="dxa"/>
            <w:right w:w="108" w:type="dxa"/>
          </w:tblCellMar>
        </w:tblPrEx>
        <w:trPr>
          <w:trHeight w:val="645" w:hRule="atLeast"/>
        </w:trPr>
        <w:tc>
          <w:tcPr>
            <w:tcW w:w="82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w:t>
            </w:r>
          </w:p>
        </w:tc>
        <w:tc>
          <w:tcPr>
            <w:tcW w:w="299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国（境）外人员培训量</w:t>
            </w:r>
          </w:p>
        </w:tc>
        <w:tc>
          <w:tcPr>
            <w:tcW w:w="829"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人日</w:t>
            </w:r>
          </w:p>
        </w:tc>
        <w:tc>
          <w:tcPr>
            <w:tcW w:w="1331"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0</w:t>
            </w:r>
          </w:p>
        </w:tc>
        <w:tc>
          <w:tcPr>
            <w:tcW w:w="278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w:t>
            </w:r>
          </w:p>
        </w:tc>
      </w:tr>
      <w:tr>
        <w:tblPrEx>
          <w:tblCellMar>
            <w:top w:w="0" w:type="dxa"/>
            <w:left w:w="108" w:type="dxa"/>
            <w:bottom w:w="0" w:type="dxa"/>
            <w:right w:w="108" w:type="dxa"/>
          </w:tblCellMar>
        </w:tblPrEx>
        <w:trPr>
          <w:trHeight w:val="865" w:hRule="atLeast"/>
        </w:trPr>
        <w:tc>
          <w:tcPr>
            <w:tcW w:w="82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w:t>
            </w:r>
          </w:p>
        </w:tc>
        <w:tc>
          <w:tcPr>
            <w:tcW w:w="299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专任教师赴国（境）外指导和开展培训时间</w:t>
            </w:r>
          </w:p>
        </w:tc>
        <w:tc>
          <w:tcPr>
            <w:tcW w:w="82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人日</w:t>
            </w:r>
          </w:p>
        </w:tc>
        <w:tc>
          <w:tcPr>
            <w:tcW w:w="13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0</w:t>
            </w:r>
          </w:p>
        </w:tc>
        <w:tc>
          <w:tcPr>
            <w:tcW w:w="2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trHeight w:val="1103" w:hRule="atLeast"/>
        </w:trPr>
        <w:tc>
          <w:tcPr>
            <w:tcW w:w="82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3</w:t>
            </w:r>
          </w:p>
        </w:tc>
        <w:tc>
          <w:tcPr>
            <w:tcW w:w="299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开发并被国（境）外采用的专业教学标准数</w:t>
            </w:r>
          </w:p>
        </w:tc>
        <w:tc>
          <w:tcPr>
            <w:tcW w:w="82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个</w:t>
            </w:r>
          </w:p>
        </w:tc>
        <w:tc>
          <w:tcPr>
            <w:tcW w:w="13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0</w:t>
            </w:r>
          </w:p>
        </w:tc>
        <w:tc>
          <w:tcPr>
            <w:tcW w:w="27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填报格式：开发××标准被××、××采用（该标准须被2个及以上国家或地区同行所采用）；须逐一列出，否则数据无效。</w:t>
            </w:r>
          </w:p>
        </w:tc>
      </w:tr>
      <w:tr>
        <w:tblPrEx>
          <w:tblCellMar>
            <w:top w:w="0" w:type="dxa"/>
            <w:left w:w="108" w:type="dxa"/>
            <w:bottom w:w="0" w:type="dxa"/>
            <w:right w:w="108" w:type="dxa"/>
          </w:tblCellMar>
        </w:tblPrEx>
        <w:trPr>
          <w:trHeight w:val="570"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color w:val="000000"/>
                <w:kern w:val="0"/>
                <w:sz w:val="24"/>
                <w:szCs w:val="24"/>
              </w:rPr>
            </w:pPr>
          </w:p>
        </w:tc>
        <w:tc>
          <w:tcPr>
            <w:tcW w:w="299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开发并被国（境）外采用的课程标准数</w:t>
            </w:r>
          </w:p>
        </w:tc>
        <w:tc>
          <w:tcPr>
            <w:tcW w:w="82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个</w:t>
            </w:r>
          </w:p>
        </w:tc>
        <w:tc>
          <w:tcPr>
            <w:tcW w:w="13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0</w:t>
            </w:r>
          </w:p>
        </w:tc>
        <w:tc>
          <w:tcPr>
            <w:tcW w:w="27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p>
        </w:tc>
      </w:tr>
      <w:tr>
        <w:tblPrEx>
          <w:tblCellMar>
            <w:top w:w="0" w:type="dxa"/>
            <w:left w:w="108" w:type="dxa"/>
            <w:bottom w:w="0" w:type="dxa"/>
            <w:right w:w="108" w:type="dxa"/>
          </w:tblCellMar>
        </w:tblPrEx>
        <w:trPr>
          <w:trHeight w:val="570" w:hRule="atLeast"/>
        </w:trPr>
        <w:tc>
          <w:tcPr>
            <w:tcW w:w="82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w:t>
            </w:r>
          </w:p>
        </w:tc>
        <w:tc>
          <w:tcPr>
            <w:tcW w:w="299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国（境）外技能大赛获奖数量</w:t>
            </w:r>
          </w:p>
        </w:tc>
        <w:tc>
          <w:tcPr>
            <w:tcW w:w="82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项</w:t>
            </w:r>
          </w:p>
        </w:tc>
        <w:tc>
          <w:tcPr>
            <w:tcW w:w="13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0</w:t>
            </w:r>
          </w:p>
        </w:tc>
        <w:tc>
          <w:tcPr>
            <w:tcW w:w="2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填报格式：××（姓名）在××（大赛名），获××奖；须逐一列出，否则数据无效。</w:t>
            </w:r>
          </w:p>
        </w:tc>
      </w:tr>
      <w:tr>
        <w:tblPrEx>
          <w:tblCellMar>
            <w:top w:w="0" w:type="dxa"/>
            <w:left w:w="108" w:type="dxa"/>
            <w:bottom w:w="0" w:type="dxa"/>
            <w:right w:w="108" w:type="dxa"/>
          </w:tblCellMar>
        </w:tblPrEx>
        <w:trPr>
          <w:trHeight w:val="570" w:hRule="atLeast"/>
        </w:trPr>
        <w:tc>
          <w:tcPr>
            <w:tcW w:w="82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both"/>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5</w:t>
            </w:r>
          </w:p>
        </w:tc>
        <w:tc>
          <w:tcPr>
            <w:tcW w:w="299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国（境）外办学点数量</w:t>
            </w:r>
          </w:p>
        </w:tc>
        <w:tc>
          <w:tcPr>
            <w:tcW w:w="82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个</w:t>
            </w:r>
          </w:p>
        </w:tc>
        <w:tc>
          <w:tcPr>
            <w:tcW w:w="13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0</w:t>
            </w:r>
          </w:p>
        </w:tc>
        <w:tc>
          <w:tcPr>
            <w:tcW w:w="2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jc w:val="left"/>
              <w:textAlignment w:val="auto"/>
              <w:outlineLvl w:val="9"/>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填报格式：××年，在××（国家或地区全称），设立××（办学点全称）；须逐一列出，否则数据无效。</w:t>
            </w:r>
          </w:p>
        </w:tc>
      </w:tr>
    </w:tbl>
    <w:p>
      <w:pPr>
        <w:pStyle w:val="2"/>
        <w:pageBreakBefore w:val="0"/>
        <w:kinsoku/>
        <w:wordWrap/>
        <w:overflowPunct/>
        <w:topLinePunct w:val="0"/>
        <w:bidi w:val="0"/>
        <w:spacing w:line="560" w:lineRule="exact"/>
        <w:ind w:right="0" w:rightChars="0"/>
        <w:textAlignment w:val="auto"/>
        <w:outlineLvl w:val="9"/>
        <w:rPr>
          <w:rFonts w:hint="eastAsia" w:ascii="仿宋_GB2312" w:hAnsi="仿宋_GB2312" w:eastAsia="仿宋_GB2312" w:cs="仿宋_GB2312"/>
          <w:sz w:val="32"/>
          <w:szCs w:val="32"/>
          <w:lang w:val="en-US" w:eastAsia="zh-Hans"/>
        </w:rPr>
      </w:pPr>
    </w:p>
    <w:p>
      <w:pPr>
        <w:pageBreakBefore w:val="0"/>
        <w:kinsoku/>
        <w:wordWrap/>
        <w:overflowPunct/>
        <w:topLinePunct w:val="0"/>
        <w:bidi w:val="0"/>
        <w:spacing w:line="560" w:lineRule="exact"/>
        <w:ind w:right="0" w:rightChars="0"/>
        <w:textAlignment w:val="auto"/>
        <w:rPr>
          <w:rFonts w:hint="eastAsia" w:ascii="仿宋_GB2312" w:hAnsi="仿宋_GB2312" w:eastAsia="仿宋_GB2312" w:cs="仿宋_GB2312"/>
          <w:sz w:val="32"/>
          <w:szCs w:val="32"/>
          <w:lang w:val="en-US" w:eastAsia="zh-Hans"/>
        </w:rPr>
      </w:pPr>
    </w:p>
    <w:p/>
    <w:sectPr>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Heiti SC Medium">
    <w:altName w:val="宋体"/>
    <w:panose1 w:val="02000000000000000000"/>
    <w:charset w:val="86"/>
    <w:family w:val="auto"/>
    <w:pitch w:val="default"/>
    <w:sig w:usb0="00000000" w:usb1="00000000" w:usb2="00000000" w:usb3="00000000" w:csb0="203E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posOffset>2554605</wp:posOffset>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1.15pt;margin-top:1pt;height:144pt;width:144pt;mso-position-horizontal-relative:margin;mso-wrap-style:none;z-index:251658240;mso-width-relative:page;mso-height-relative:page;" filled="f" stroked="f" coordsize="21600,21600" o:gfxdata="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wLyZw1AAAAAkBAAAPAAAAAAAAAAEAIAAAACIAAABkcnMvZG93bnJldi54bWxQSwEC&#10;FAAUAAAACACHTuJAJIJGtDECAABhBAAADgAAAAAAAAABACAAAAAjAQAAZHJzL2Uyb0RvYy54bWxQ&#10;SwUGAAAAAAYABgBZAQAAxgUAAAAA&#10;">
              <v:fill on="f" focussize="0,0"/>
              <v:stroke on="f" weight="0.5pt"/>
              <v:imagedata o:title=""/>
              <o:lock v:ext="edit" aspectratio="f"/>
              <v:textbox inset="0mm,0mm,0mm,0mm" style="mso-fit-shape-to-text:t;">
                <w:txbxContent>
                  <w:p>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1</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snapToGrid w:val="0"/>
                      <w:rPr>
                        <w:sz w:val="18"/>
                      </w:rPr>
                    </w:pPr>
                    <w:r>
                      <w:rPr>
                        <w:sz w:val="18"/>
                      </w:rPr>
                      <w:t>1</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t>1</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snapToGrid w:val="0"/>
                      <w:rPr>
                        <w:sz w:val="18"/>
                      </w:rPr>
                    </w:pPr>
                    <w:r>
                      <w:rPr>
                        <w:sz w:val="18"/>
                      </w:rPr>
                      <w:t>1</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rFonts w:hint="eastAsia" w:ascii="隶书" w:hAnsi="隶书" w:eastAsia="隶书" w:cs="隶书"/>
        <w:sz w:val="21"/>
        <w:szCs w:val="21"/>
        <w:lang w:val="en-US" w:eastAsia="zh-CN"/>
      </w:rPr>
    </w:pPr>
    <w:r>
      <w:rPr>
        <w:rFonts w:hint="eastAsia" w:eastAsia="仿宋_GB2312"/>
        <w:lang w:eastAsia="zh-CN"/>
      </w:rPr>
      <w:drawing>
        <wp:inline distT="0" distB="0" distL="114300" distR="114300">
          <wp:extent cx="1699895" cy="228600"/>
          <wp:effectExtent l="0" t="0" r="6985"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
                  <a:stretch>
                    <a:fillRect/>
                  </a:stretch>
                </pic:blipFill>
                <pic:spPr>
                  <a:xfrm>
                    <a:off x="0" y="0"/>
                    <a:ext cx="1699895" cy="228600"/>
                  </a:xfrm>
                  <a:prstGeom prst="rect">
                    <a:avLst/>
                  </a:prstGeom>
                  <a:noFill/>
                  <a:ln w="9525">
                    <a:noFill/>
                  </a:ln>
                </pic:spPr>
              </pic:pic>
            </a:graphicData>
          </a:graphic>
        </wp:inline>
      </w:drawing>
    </w:r>
    <w:r>
      <w:rPr>
        <w:rFonts w:hint="eastAsia"/>
        <w:lang w:val="en-US" w:eastAsia="zh-CN"/>
      </w:rPr>
      <w:t xml:space="preserve">                                   </w:t>
    </w:r>
    <w:r>
      <w:rPr>
        <w:rFonts w:hint="eastAsia" w:ascii="隶书" w:hAnsi="隶书" w:eastAsia="隶书" w:cs="隶书"/>
        <w:sz w:val="21"/>
        <w:szCs w:val="21"/>
        <w:lang w:val="en-US" w:eastAsia="zh-CN"/>
      </w:rPr>
      <w:t>人才培养质量年度报告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451A92"/>
    <w:rsid w:val="01AD3897"/>
    <w:rsid w:val="03724BEC"/>
    <w:rsid w:val="06A90D11"/>
    <w:rsid w:val="146E71E2"/>
    <w:rsid w:val="20E77B13"/>
    <w:rsid w:val="298F562E"/>
    <w:rsid w:val="2BA74841"/>
    <w:rsid w:val="44944AD0"/>
    <w:rsid w:val="4E9D7FC0"/>
    <w:rsid w:val="4F2F73AE"/>
    <w:rsid w:val="60451A92"/>
    <w:rsid w:val="69BC034F"/>
    <w:rsid w:val="6B206A59"/>
    <w:rsid w:val="6BCA34C4"/>
    <w:rsid w:val="6EB3631A"/>
    <w:rsid w:val="711372FA"/>
    <w:rsid w:val="79562331"/>
    <w:rsid w:val="7985043E"/>
    <w:rsid w:val="7F353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00" w:lineRule="exact"/>
      <w:ind w:firstLine="880" w:firstLineChars="200"/>
      <w:jc w:val="both"/>
    </w:pPr>
    <w:rPr>
      <w:rFonts w:ascii="Times New Roman" w:hAnsi="Times New Roman" w:eastAsia="仿宋_GB2312" w:cs="Times New Roman"/>
      <w:kern w:val="2"/>
      <w:sz w:val="30"/>
      <w:szCs w:val="24"/>
      <w:lang w:val="en-US" w:eastAsia="zh-CN" w:bidi="ar-SA"/>
    </w:rPr>
  </w:style>
  <w:style w:type="paragraph" w:styleId="3">
    <w:name w:val="heading 1"/>
    <w:basedOn w:val="1"/>
    <w:next w:val="1"/>
    <w:qFormat/>
    <w:uiPriority w:val="0"/>
    <w:pPr>
      <w:keepNext/>
      <w:keepLines/>
      <w:spacing w:before="10" w:beforeLines="0" w:after="10" w:afterLines="0" w:line="500" w:lineRule="exact"/>
      <w:ind w:leftChars="0"/>
      <w:outlineLvl w:val="0"/>
    </w:pPr>
    <w:rPr>
      <w:rFonts w:ascii="Times New Roman" w:hAnsi="Times New Roman" w:eastAsia="黑体"/>
      <w:b/>
      <w:bCs/>
      <w:kern w:val="44"/>
      <w:sz w:val="30"/>
      <w:szCs w:val="44"/>
    </w:rPr>
  </w:style>
  <w:style w:type="paragraph" w:styleId="4">
    <w:name w:val="heading 2"/>
    <w:basedOn w:val="1"/>
    <w:next w:val="1"/>
    <w:qFormat/>
    <w:uiPriority w:val="0"/>
    <w:pPr>
      <w:keepNext/>
      <w:keepLines/>
      <w:spacing w:before="10" w:beforeLines="0" w:after="10" w:afterLines="0" w:line="416" w:lineRule="auto"/>
      <w:ind w:leftChars="0" w:firstLine="880" w:firstLineChars="200"/>
      <w:outlineLvl w:val="1"/>
    </w:pPr>
    <w:rPr>
      <w:rFonts w:ascii="Arial" w:hAnsi="Arial" w:eastAsia="楷体_GB2312"/>
      <w:b/>
      <w:bCs/>
      <w:sz w:val="32"/>
      <w:szCs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2">
    <w:name w:val="heading 4"/>
    <w:basedOn w:val="1"/>
    <w:next w:val="1"/>
    <w:qFormat/>
    <w:uiPriority w:val="9"/>
    <w:pPr>
      <w:keepNext/>
      <w:keepLines/>
      <w:spacing w:before="280" w:after="290" w:line="376" w:lineRule="auto"/>
      <w:outlineLvl w:val="3"/>
    </w:pPr>
    <w:rPr>
      <w:rFonts w:ascii="Cambria" w:hAnsi="Cambria"/>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pPr>
      <w:ind w:left="786"/>
    </w:pPr>
    <w:rPr>
      <w:sz w:val="24"/>
      <w:szCs w:val="24"/>
    </w:r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rFonts w:eastAsia="宋体"/>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kern w:val="2"/>
      <w:sz w:val="18"/>
      <w:szCs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rPr>
  </w:style>
  <w:style w:type="table" w:styleId="14">
    <w:name w:val="Table Grid"/>
    <w:basedOn w:val="13"/>
    <w:qFormat/>
    <w:uiPriority w:val="0"/>
    <w:rPr>
      <w:rFonts w:asciiTheme="minorHAnsi" w:hAnsiTheme="minorHAnsi" w:eastAsiaTheme="minorEastAsia"/>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paragraph" w:customStyle="1" w:styleId="17">
    <w:name w:val="_Style 2"/>
    <w:basedOn w:val="3"/>
    <w:next w:val="1"/>
    <w:qFormat/>
    <w:uiPriority w:val="39"/>
    <w:pPr>
      <w:widowControl/>
      <w:spacing w:before="480" w:after="0" w:line="276" w:lineRule="auto"/>
      <w:ind w:firstLine="0" w:firstLineChars="0"/>
      <w:jc w:val="left"/>
      <w:outlineLvl w:val="9"/>
    </w:pPr>
    <w:rPr>
      <w:rFonts w:ascii="Cambria" w:hAnsi="Cambria" w:eastAsia="宋体" w:cs="Times New Roman"/>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2021-01-05T01:19:00Z</dcterms:created>
  <dc:creator>韦柳霞</dc:creator>
  <cp:lastModifiedBy>韦柳霞</cp:lastModifiedBy>
  <cp:lastPrinted>2021-01-08T01:32:55Z</cp:lastPrinted>
  <dcterms:modified xsi:type="dcterms:W3CDTF">2021-01-08T03:17:41Z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